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76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74"/>
        <w:gridCol w:w="66"/>
        <w:gridCol w:w="52"/>
        <w:gridCol w:w="3618"/>
        <w:gridCol w:w="334"/>
        <w:gridCol w:w="330"/>
        <w:gridCol w:w="307"/>
        <w:gridCol w:w="375"/>
        <w:gridCol w:w="4310"/>
      </w:tblGrid>
      <w:tr w:rsidR="001000E3" w:rsidRPr="00DE1119" w14:paraId="551526C7" w14:textId="4C1EF507" w:rsidTr="001B31BB">
        <w:trPr>
          <w:cantSplit/>
          <w:trHeight w:val="1918"/>
        </w:trPr>
        <w:tc>
          <w:tcPr>
            <w:tcW w:w="2254" w:type="pct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FFECB7"/>
          </w:tcPr>
          <w:p w14:paraId="764FEE13" w14:textId="77777777" w:rsidR="00F50E93" w:rsidRPr="00DE1119" w:rsidRDefault="00F50E93" w:rsidP="00B232BE">
            <w:pPr>
              <w:pStyle w:val="Header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DE1119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Professional Development</w:t>
            </w:r>
          </w:p>
          <w:p w14:paraId="736D4C8E" w14:textId="77777777" w:rsidR="00F50E93" w:rsidRPr="00DE1119" w:rsidRDefault="00F50E93" w:rsidP="00B232BE">
            <w:pPr>
              <w:pStyle w:val="Header"/>
              <w:ind w:left="1260" w:hanging="126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  <w:p w14:paraId="431ED4F4" w14:textId="77777777" w:rsidR="00F50E93" w:rsidRPr="00C14DF2" w:rsidRDefault="00F50E93" w:rsidP="00B232BE">
            <w:pPr>
              <w:pStyle w:val="Header"/>
              <w:ind w:left="7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165FAB">
              <w:rPr>
                <w:rFonts w:ascii="Calibri" w:hAnsi="Calibri" w:cs="Arial"/>
                <w:sz w:val="18"/>
                <w:szCs w:val="18"/>
                <w:lang w:val="en-US" w:eastAsia="en-US"/>
              </w:rPr>
              <w:t>A successful teacher candidate demonstrates capacity of the knowledge and skills for professional development, which ensure a positive impact on student learning.</w:t>
            </w: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>(</w:t>
            </w:r>
            <w:r w:rsidRPr="00165FAB"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>Based on CEC Initial Preparation Standards and Elements</w:t>
            </w: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62" w:type="pct"/>
            <w:tcBorders>
              <w:top w:val="double" w:sz="2" w:space="0" w:color="auto"/>
              <w:bottom w:val="double" w:sz="2" w:space="0" w:color="auto"/>
            </w:tcBorders>
            <w:shd w:val="clear" w:color="auto" w:fill="FFECB7"/>
            <w:textDirection w:val="btLr"/>
          </w:tcPr>
          <w:p w14:paraId="10DC67BD" w14:textId="77777777" w:rsidR="00F50E93" w:rsidRPr="00DE1119" w:rsidRDefault="00F50E93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DE1119">
              <w:rPr>
                <w:rFonts w:ascii="Calibri" w:hAnsi="Calibri" w:cs="Arial"/>
                <w:sz w:val="18"/>
                <w:szCs w:val="18"/>
                <w:lang w:val="en-US" w:eastAsia="en-US"/>
              </w:rPr>
              <w:t>Exemplary</w:t>
            </w:r>
          </w:p>
        </w:tc>
        <w:tc>
          <w:tcPr>
            <w:tcW w:w="160" w:type="pct"/>
            <w:tcBorders>
              <w:top w:val="double" w:sz="2" w:space="0" w:color="auto"/>
              <w:bottom w:val="double" w:sz="2" w:space="0" w:color="auto"/>
            </w:tcBorders>
            <w:shd w:val="clear" w:color="auto" w:fill="FFECB7"/>
            <w:textDirection w:val="btLr"/>
          </w:tcPr>
          <w:p w14:paraId="728481FE" w14:textId="77777777" w:rsidR="00F50E93" w:rsidRPr="00DE1119" w:rsidRDefault="00F50E93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DE1119">
              <w:rPr>
                <w:rFonts w:ascii="Calibri" w:hAnsi="Calibri" w:cs="Arial"/>
                <w:sz w:val="18"/>
                <w:szCs w:val="18"/>
                <w:lang w:val="en-US" w:eastAsia="en-US"/>
              </w:rPr>
              <w:t>Proficient</w:t>
            </w:r>
          </w:p>
        </w:tc>
        <w:tc>
          <w:tcPr>
            <w:tcW w:w="149" w:type="pct"/>
            <w:tcBorders>
              <w:top w:val="double" w:sz="2" w:space="0" w:color="auto"/>
              <w:bottom w:val="double" w:sz="2" w:space="0" w:color="auto"/>
            </w:tcBorders>
            <w:shd w:val="clear" w:color="auto" w:fill="FFECB7"/>
            <w:textDirection w:val="btLr"/>
          </w:tcPr>
          <w:p w14:paraId="607BE049" w14:textId="77777777" w:rsidR="00F50E93" w:rsidRPr="00DE1119" w:rsidRDefault="00F50E93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Developing</w:t>
            </w:r>
          </w:p>
        </w:tc>
        <w:tc>
          <w:tcPr>
            <w:tcW w:w="182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CB7"/>
            <w:textDirection w:val="btLr"/>
          </w:tcPr>
          <w:p w14:paraId="0B5849D5" w14:textId="77777777" w:rsidR="00F50E93" w:rsidRPr="00DE1119" w:rsidRDefault="00F50E93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Unsatisfactory</w:t>
            </w:r>
          </w:p>
        </w:tc>
        <w:tc>
          <w:tcPr>
            <w:tcW w:w="2093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ECB7"/>
            <w:textDirection w:val="btLr"/>
          </w:tcPr>
          <w:p w14:paraId="5AAAE1C3" w14:textId="77777777" w:rsidR="00F50E93" w:rsidRDefault="00F50E93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1000E3" w:rsidRPr="00DE1119" w14:paraId="4AA00B5F" w14:textId="68A3D5F8" w:rsidTr="001B31BB">
        <w:trPr>
          <w:trHeight w:val="843"/>
        </w:trPr>
        <w:tc>
          <w:tcPr>
            <w:tcW w:w="406" w:type="pct"/>
            <w:tcBorders>
              <w:left w:val="double" w:sz="2" w:space="0" w:color="auto"/>
              <w:right w:val="nil"/>
            </w:tcBorders>
          </w:tcPr>
          <w:p w14:paraId="277D7530" w14:textId="1BEB0491" w:rsidR="00F50E93" w:rsidRPr="00DE1119" w:rsidRDefault="00F50E9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848" w:type="pct"/>
            <w:gridSpan w:val="4"/>
            <w:tcBorders>
              <w:left w:val="nil"/>
            </w:tcBorders>
          </w:tcPr>
          <w:p w14:paraId="13058490" w14:textId="4CDC6B87" w:rsidR="00F50E93" w:rsidRPr="00165FAB" w:rsidRDefault="00F50E93" w:rsidP="00981ADB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</w:p>
        </w:tc>
        <w:tc>
          <w:tcPr>
            <w:tcW w:w="162" w:type="pct"/>
            <w:vAlign w:val="center"/>
          </w:tcPr>
          <w:p w14:paraId="55BB3EC9" w14:textId="6693B938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60" w:type="pct"/>
            <w:vAlign w:val="center"/>
          </w:tcPr>
          <w:p w14:paraId="0B6480E3" w14:textId="34B96AD7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49" w:type="pct"/>
            <w:vAlign w:val="center"/>
          </w:tcPr>
          <w:p w14:paraId="29B12C1B" w14:textId="3CBA9984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82" w:type="pct"/>
            <w:tcBorders>
              <w:right w:val="double" w:sz="2" w:space="0" w:color="auto"/>
            </w:tcBorders>
            <w:vAlign w:val="center"/>
          </w:tcPr>
          <w:p w14:paraId="0CF5BEA9" w14:textId="16725F31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93" w:type="pct"/>
            <w:tcBorders>
              <w:right w:val="double" w:sz="2" w:space="0" w:color="auto"/>
            </w:tcBorders>
          </w:tcPr>
          <w:p w14:paraId="70548D04" w14:textId="3F16009F" w:rsidR="003B02A6" w:rsidRPr="000B7D6F" w:rsidRDefault="00C41423" w:rsidP="00733D2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Participates in collegial activities designed to make the entire school a productive learning environment.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2.1, 6.5</w:t>
            </w:r>
          </w:p>
        </w:tc>
      </w:tr>
      <w:tr w:rsidR="001000E3" w:rsidRPr="00DE1119" w14:paraId="303DB1CF" w14:textId="76B2D14E" w:rsidTr="001B31BB">
        <w:trPr>
          <w:trHeight w:val="294"/>
        </w:trPr>
        <w:tc>
          <w:tcPr>
            <w:tcW w:w="442" w:type="pct"/>
            <w:gridSpan w:val="2"/>
            <w:tcBorders>
              <w:left w:val="double" w:sz="2" w:space="0" w:color="auto"/>
              <w:bottom w:val="single" w:sz="4" w:space="0" w:color="auto"/>
              <w:right w:val="nil"/>
            </w:tcBorders>
          </w:tcPr>
          <w:p w14:paraId="78E11B44" w14:textId="221AF2CA" w:rsidR="00F50E93" w:rsidRPr="00DE1119" w:rsidRDefault="00F50E9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813" w:type="pct"/>
            <w:gridSpan w:val="3"/>
            <w:tcBorders>
              <w:left w:val="nil"/>
              <w:bottom w:val="single" w:sz="4" w:space="0" w:color="auto"/>
            </w:tcBorders>
          </w:tcPr>
          <w:p w14:paraId="6EE00526" w14:textId="0416D17D" w:rsidR="00F50E93" w:rsidRPr="00165FAB" w:rsidRDefault="00F50E93" w:rsidP="001B31BB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23326FFA" w14:textId="4AB03459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14:paraId="60FE9652" w14:textId="4844997D" w:rsidR="00F50E93" w:rsidRPr="008B51C4" w:rsidRDefault="00F50E93" w:rsidP="0008589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vAlign w:val="center"/>
          </w:tcPr>
          <w:p w14:paraId="21D9B317" w14:textId="3DBB04B4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82" w:type="pct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37B83107" w14:textId="3A7F3903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93" w:type="pct"/>
            <w:tcBorders>
              <w:bottom w:val="single" w:sz="4" w:space="0" w:color="auto"/>
              <w:right w:val="double" w:sz="2" w:space="0" w:color="auto"/>
            </w:tcBorders>
          </w:tcPr>
          <w:p w14:paraId="45148B1B" w14:textId="7A6F5CEF" w:rsidR="005847D4" w:rsidRDefault="00C41423" w:rsidP="00733D2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Collaborates with colleagues to obtain feedback and uses it for professional growth.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6.4</w:t>
            </w:r>
          </w:p>
        </w:tc>
      </w:tr>
      <w:tr w:rsidR="001000E3" w:rsidRPr="00DE1119" w14:paraId="175E4344" w14:textId="402968B2" w:rsidTr="001B31BB">
        <w:trPr>
          <w:trHeight w:val="264"/>
        </w:trPr>
        <w:tc>
          <w:tcPr>
            <w:tcW w:w="474" w:type="pct"/>
            <w:gridSpan w:val="3"/>
            <w:tcBorders>
              <w:left w:val="doub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B2AFD" w14:textId="7EE0E720" w:rsidR="00F50E93" w:rsidRPr="00DE1119" w:rsidRDefault="00F50E9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78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0D0F1D" w14:textId="4868C1DF" w:rsidR="00F50E93" w:rsidRPr="00165FAB" w:rsidRDefault="00F50E93" w:rsidP="003A142B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B842" w14:textId="174D5E35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E8509" w14:textId="0AC13305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26191" w14:textId="6112D6FF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82" w:type="pct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315D377" w14:textId="5D87CCC0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93" w:type="pct"/>
            <w:tcBorders>
              <w:bottom w:val="single" w:sz="4" w:space="0" w:color="auto"/>
              <w:right w:val="double" w:sz="2" w:space="0" w:color="auto"/>
            </w:tcBorders>
          </w:tcPr>
          <w:p w14:paraId="0FA23EFF" w14:textId="75E26F2F" w:rsidR="003B02A6" w:rsidRDefault="00C41423" w:rsidP="0008589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Identifies and draws on school and community resources that foster the understanding of how diversity impacts student learning.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1.1, 6.3</w:t>
            </w:r>
          </w:p>
        </w:tc>
      </w:tr>
      <w:tr w:rsidR="001000E3" w:rsidRPr="00DE1119" w14:paraId="33DE3F2F" w14:textId="5E57774E" w:rsidTr="001B31BB">
        <w:trPr>
          <w:trHeight w:val="264"/>
        </w:trPr>
        <w:tc>
          <w:tcPr>
            <w:tcW w:w="499" w:type="pct"/>
            <w:gridSpan w:val="4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nil"/>
            </w:tcBorders>
            <w:shd w:val="clear" w:color="auto" w:fill="auto"/>
          </w:tcPr>
          <w:p w14:paraId="164742AD" w14:textId="150FBC3A" w:rsidR="00F50E93" w:rsidRPr="00DE1119" w:rsidRDefault="00F50E9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double" w:sz="2" w:space="0" w:color="auto"/>
            </w:tcBorders>
            <w:shd w:val="clear" w:color="auto" w:fill="auto"/>
          </w:tcPr>
          <w:p w14:paraId="46D59873" w14:textId="29C938F4" w:rsidR="00F50E93" w:rsidRPr="00165FAB" w:rsidRDefault="00F50E93" w:rsidP="00B232BE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0B465710" w14:textId="22E7DCAF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486A7C7" w14:textId="30CEFBCB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5CDF4227" w14:textId="5DBF4E5E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BF9A93B" w14:textId="0E23C616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93" w:type="pct"/>
            <w:tcBorders>
              <w:top w:val="single" w:sz="4" w:space="0" w:color="auto"/>
              <w:bottom w:val="double" w:sz="2" w:space="0" w:color="auto"/>
              <w:right w:val="double" w:sz="2" w:space="0" w:color="auto"/>
            </w:tcBorders>
          </w:tcPr>
          <w:p w14:paraId="5C88CDCA" w14:textId="279AA782" w:rsidR="006B30A9" w:rsidRPr="00CC6F75" w:rsidRDefault="00C41423" w:rsidP="00870030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</w:rPr>
              <w:t>Uses student growth data evidence through multiple measures to self-assess and reflect on teaching practices and set on-going professional improvement goals.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 6.4</w:t>
            </w:r>
          </w:p>
        </w:tc>
      </w:tr>
    </w:tbl>
    <w:p w14:paraId="393DC261" w14:textId="573A9E55" w:rsidR="00085893" w:rsidRDefault="00085893"/>
    <w:tbl>
      <w:tblPr>
        <w:tblW w:w="4776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25"/>
        <w:gridCol w:w="25"/>
        <w:gridCol w:w="72"/>
        <w:gridCol w:w="3509"/>
        <w:gridCol w:w="358"/>
        <w:gridCol w:w="361"/>
        <w:gridCol w:w="361"/>
        <w:gridCol w:w="449"/>
        <w:gridCol w:w="4141"/>
      </w:tblGrid>
      <w:tr w:rsidR="00085893" w:rsidRPr="00DE1119" w14:paraId="6C1ADEF7" w14:textId="074BB227" w:rsidTr="00602AAC">
        <w:trPr>
          <w:cantSplit/>
          <w:trHeight w:val="865"/>
        </w:trPr>
        <w:tc>
          <w:tcPr>
            <w:tcW w:w="2248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FFECB7"/>
          </w:tcPr>
          <w:p w14:paraId="702AC690" w14:textId="70BA6190" w:rsidR="00085893" w:rsidRDefault="00085893" w:rsidP="00085893">
            <w:pPr>
              <w:pStyle w:val="Header"/>
              <w:ind w:left="270" w:hanging="270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DE1119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Teaching as a Professio</w:t>
            </w:r>
            <w:r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n and Professional Contribution</w:t>
            </w: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 xml:space="preserve"> </w:t>
            </w:r>
          </w:p>
          <w:p w14:paraId="34107002" w14:textId="77777777" w:rsidR="00085893" w:rsidRPr="00520EB9" w:rsidRDefault="00085893" w:rsidP="00085893">
            <w:pPr>
              <w:pStyle w:val="Header"/>
              <w:ind w:left="270" w:hanging="270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Pr="00354529">
              <w:rPr>
                <w:rFonts w:ascii="Calibri" w:hAnsi="Calibri" w:cs="Arial"/>
                <w:sz w:val="18"/>
                <w:szCs w:val="18"/>
                <w:lang w:val="en-US" w:eastAsia="en-US"/>
              </w:rPr>
              <w:t>A successful teacher candidate demonstrates understanding of teaching as a profession.</w:t>
            </w: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>(</w:t>
            </w:r>
            <w:r w:rsidRPr="00165FAB"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>Based on CEC Initial Preparation Standards and Elements</w:t>
            </w:r>
            <w:r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4" w:type="pct"/>
            <w:tcBorders>
              <w:top w:val="double" w:sz="2" w:space="0" w:color="auto"/>
              <w:bottom w:val="double" w:sz="2" w:space="0" w:color="auto"/>
            </w:tcBorders>
            <w:shd w:val="clear" w:color="auto" w:fill="FFECB7"/>
            <w:textDirection w:val="btLr"/>
          </w:tcPr>
          <w:p w14:paraId="75A5D391" w14:textId="7260373F" w:rsidR="00085893" w:rsidRPr="00DE1119" w:rsidRDefault="00085893" w:rsidP="00085893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DE1119">
              <w:rPr>
                <w:rFonts w:ascii="Calibri" w:hAnsi="Calibri" w:cs="Arial"/>
                <w:sz w:val="18"/>
                <w:szCs w:val="18"/>
                <w:lang w:val="en-US" w:eastAsia="en-US"/>
              </w:rPr>
              <w:t>Exemplary</w:t>
            </w:r>
          </w:p>
        </w:tc>
        <w:tc>
          <w:tcPr>
            <w:tcW w:w="175" w:type="pct"/>
            <w:tcBorders>
              <w:top w:val="double" w:sz="2" w:space="0" w:color="auto"/>
              <w:bottom w:val="double" w:sz="2" w:space="0" w:color="auto"/>
            </w:tcBorders>
            <w:shd w:val="clear" w:color="auto" w:fill="FFECB7"/>
            <w:textDirection w:val="btLr"/>
          </w:tcPr>
          <w:p w14:paraId="75B24F85" w14:textId="70345755" w:rsidR="00085893" w:rsidRPr="00DE1119" w:rsidRDefault="00085893" w:rsidP="00085893">
            <w:pPr>
              <w:pStyle w:val="Header"/>
              <w:ind w:left="113" w:right="113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 w:rsidRPr="00DE1119">
              <w:rPr>
                <w:rFonts w:ascii="Calibri" w:hAnsi="Calibri" w:cs="Arial"/>
                <w:sz w:val="18"/>
                <w:szCs w:val="18"/>
                <w:lang w:val="en-US" w:eastAsia="en-US"/>
              </w:rPr>
              <w:t>Proficient</w:t>
            </w:r>
          </w:p>
        </w:tc>
        <w:tc>
          <w:tcPr>
            <w:tcW w:w="175" w:type="pct"/>
            <w:tcBorders>
              <w:top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14:paraId="54A1863E" w14:textId="23074401" w:rsidR="00085893" w:rsidRPr="00DE1119" w:rsidRDefault="00085893" w:rsidP="00085893">
            <w:pPr>
              <w:pStyle w:val="Header"/>
              <w:ind w:left="113" w:right="113"/>
              <w:rPr>
                <w:rFonts w:ascii="Calibri" w:hAnsi="Calibri" w:cs="Arial"/>
                <w:strike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Developing</w:t>
            </w:r>
          </w:p>
        </w:tc>
        <w:tc>
          <w:tcPr>
            <w:tcW w:w="218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F2CC"/>
            <w:textDirection w:val="btLr"/>
          </w:tcPr>
          <w:p w14:paraId="53A7EC23" w14:textId="68C89208" w:rsidR="00085893" w:rsidRPr="00DE1119" w:rsidRDefault="00085893" w:rsidP="00085893">
            <w:pPr>
              <w:pStyle w:val="Header"/>
              <w:ind w:left="113" w:right="113"/>
              <w:rPr>
                <w:rFonts w:ascii="Calibri" w:hAnsi="Calibri" w:cs="Arial"/>
                <w:color w:val="FF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Unsatisfactory</w:t>
            </w:r>
          </w:p>
        </w:tc>
        <w:tc>
          <w:tcPr>
            <w:tcW w:w="2010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F2CC"/>
            <w:textDirection w:val="btLr"/>
          </w:tcPr>
          <w:p w14:paraId="7DFE27A1" w14:textId="77777777" w:rsidR="00085893" w:rsidRPr="00DE1119" w:rsidRDefault="00085893" w:rsidP="00085893">
            <w:pPr>
              <w:pStyle w:val="Header"/>
              <w:ind w:left="113" w:right="113"/>
              <w:rPr>
                <w:rFonts w:ascii="Calibri" w:hAnsi="Calibr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085893" w:rsidRPr="00DE1119" w14:paraId="0EA4965A" w14:textId="1A4344CD" w:rsidTr="00120AFD">
        <w:trPr>
          <w:trHeight w:val="1018"/>
        </w:trPr>
        <w:tc>
          <w:tcPr>
            <w:tcW w:w="545" w:type="pct"/>
            <w:gridSpan w:val="3"/>
            <w:tcBorders>
              <w:top w:val="double" w:sz="2" w:space="0" w:color="auto"/>
              <w:left w:val="double" w:sz="2" w:space="0" w:color="auto"/>
              <w:right w:val="nil"/>
            </w:tcBorders>
          </w:tcPr>
          <w:p w14:paraId="5DE8AB48" w14:textId="0B8131C1" w:rsidR="00F50E93" w:rsidRPr="00DE1119" w:rsidRDefault="00F50E9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bookmarkStart w:id="0" w:name="_GoBack" w:colFirst="1" w:colLast="1"/>
            <w:r w:rsidRPr="00DE1119">
              <w:rPr>
                <w:rFonts w:ascii="Calibri" w:hAnsi="Calibri" w:cs="Arial"/>
                <w:sz w:val="19"/>
                <w:szCs w:val="19"/>
              </w:rPr>
              <w:t xml:space="preserve">TP.01 </w:t>
            </w:r>
          </w:p>
        </w:tc>
        <w:tc>
          <w:tcPr>
            <w:tcW w:w="1703" w:type="pct"/>
            <w:tcBorders>
              <w:top w:val="double" w:sz="2" w:space="0" w:color="auto"/>
              <w:left w:val="nil"/>
            </w:tcBorders>
            <w:vAlign w:val="center"/>
          </w:tcPr>
          <w:p w14:paraId="41FFC53E" w14:textId="77777777" w:rsidR="00F50E93" w:rsidRPr="00DE1119" w:rsidRDefault="00F50E93" w:rsidP="00120AFD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Meets expectations of scheduled commitments, productivity and effort and adheres to established standards for dress and grooming.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0C3EBE6F" w14:textId="7374B8D5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75" w:type="pct"/>
            <w:tcBorders>
              <w:top w:val="double" w:sz="2" w:space="0" w:color="auto"/>
            </w:tcBorders>
            <w:vAlign w:val="center"/>
          </w:tcPr>
          <w:p w14:paraId="5E1C52CF" w14:textId="2BCA5CBA" w:rsidR="00F50E93" w:rsidRPr="008B51C4" w:rsidRDefault="00AD0A99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75" w:type="pc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</w:tcPr>
          <w:p w14:paraId="7FA1A8A9" w14:textId="77777777" w:rsidR="00F50E93" w:rsidRPr="00DE1119" w:rsidRDefault="00F50E93" w:rsidP="00B232BE">
            <w:pPr>
              <w:pStyle w:val="Head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8" w:type="pct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14:paraId="77D056F3" w14:textId="77777777" w:rsidR="00F50E93" w:rsidRPr="00DE1119" w:rsidRDefault="00F50E93" w:rsidP="00B232BE">
            <w:pPr>
              <w:pStyle w:val="Head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010" w:type="pct"/>
            <w:tcBorders>
              <w:top w:val="double" w:sz="2" w:space="0" w:color="auto"/>
              <w:left w:val="single" w:sz="4" w:space="0" w:color="auto"/>
              <w:right w:val="double" w:sz="2" w:space="0" w:color="auto"/>
            </w:tcBorders>
          </w:tcPr>
          <w:p w14:paraId="21B322F3" w14:textId="2E265A4F" w:rsidR="00A064A0" w:rsidRPr="002637C8" w:rsidRDefault="00A064A0" w:rsidP="003B02A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bookmarkEnd w:id="0"/>
      <w:tr w:rsidR="00085893" w:rsidRPr="00DE1119" w14:paraId="54333D42" w14:textId="705079C6" w:rsidTr="00602AAC">
        <w:trPr>
          <w:trHeight w:val="264"/>
        </w:trPr>
        <w:tc>
          <w:tcPr>
            <w:tcW w:w="498" w:type="pct"/>
            <w:tcBorders>
              <w:left w:val="double" w:sz="2" w:space="0" w:color="auto"/>
              <w:right w:val="nil"/>
            </w:tcBorders>
          </w:tcPr>
          <w:p w14:paraId="5B28A7BA" w14:textId="5031B54B" w:rsidR="00F50E93" w:rsidRPr="00DE1119" w:rsidRDefault="00F50E9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 xml:space="preserve">TP.02   </w:t>
            </w:r>
          </w:p>
        </w:tc>
        <w:tc>
          <w:tcPr>
            <w:tcW w:w="1750" w:type="pct"/>
            <w:gridSpan w:val="3"/>
            <w:tcBorders>
              <w:left w:val="nil"/>
            </w:tcBorders>
          </w:tcPr>
          <w:p w14:paraId="41B76AC7" w14:textId="77777777" w:rsidR="00F50E93" w:rsidRPr="00AD4B0F" w:rsidRDefault="00F50E93" w:rsidP="00085893">
            <w:pPr>
              <w:ind w:left="-128"/>
              <w:rPr>
                <w:rFonts w:ascii="Calibri" w:hAnsi="Calibri" w:cs="Arial"/>
                <w:i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Interacts with everyone in a courteous, fair, sensitive, and professional manner.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5.1, 7.1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348836D3" w14:textId="3D68F89B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75" w:type="pct"/>
            <w:vAlign w:val="center"/>
          </w:tcPr>
          <w:p w14:paraId="68AC1105" w14:textId="10E917D2" w:rsidR="00F50E93" w:rsidRPr="008B51C4" w:rsidRDefault="00AD0A99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auto"/>
          </w:tcPr>
          <w:p w14:paraId="2C15DAE3" w14:textId="77777777" w:rsidR="00F50E93" w:rsidRPr="00DE1119" w:rsidRDefault="00F50E93" w:rsidP="00B232B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14:paraId="5D7B09C9" w14:textId="77777777" w:rsidR="00F50E93" w:rsidRPr="00DE1119" w:rsidRDefault="00F50E93" w:rsidP="00B232B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double" w:sz="2" w:space="0" w:color="auto"/>
            </w:tcBorders>
          </w:tcPr>
          <w:p w14:paraId="5A5C954B" w14:textId="106343F9" w:rsidR="00112BB1" w:rsidRPr="002637C8" w:rsidRDefault="00112BB1" w:rsidP="003B02A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085893" w:rsidRPr="00DE1119" w14:paraId="63BDBD11" w14:textId="2CD83B89" w:rsidTr="00602AAC">
        <w:trPr>
          <w:trHeight w:val="264"/>
        </w:trPr>
        <w:tc>
          <w:tcPr>
            <w:tcW w:w="498" w:type="pct"/>
            <w:tcBorders>
              <w:left w:val="double" w:sz="2" w:space="0" w:color="auto"/>
              <w:right w:val="nil"/>
            </w:tcBorders>
          </w:tcPr>
          <w:p w14:paraId="4CC1F3A1" w14:textId="388E9BA3" w:rsidR="00F50E93" w:rsidRPr="00DE1119" w:rsidRDefault="00F50E9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 xml:space="preserve">TP.03   </w:t>
            </w:r>
          </w:p>
        </w:tc>
        <w:tc>
          <w:tcPr>
            <w:tcW w:w="1750" w:type="pct"/>
            <w:gridSpan w:val="3"/>
            <w:tcBorders>
              <w:left w:val="nil"/>
            </w:tcBorders>
          </w:tcPr>
          <w:p w14:paraId="47AC3B7C" w14:textId="77777777" w:rsidR="00F50E93" w:rsidRPr="00AD4B0F" w:rsidRDefault="00F50E93" w:rsidP="00085893">
            <w:pPr>
              <w:ind w:left="-128"/>
              <w:rPr>
                <w:rFonts w:ascii="Calibri" w:hAnsi="Calibri" w:cs="Arial"/>
                <w:i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Uses effective, appropriate, and professional problem-solving strategies at all times and with all audience.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2.1, 7.1, 7.2, 7.3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3572CF47" w14:textId="112419EB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75" w:type="pct"/>
            <w:vAlign w:val="center"/>
          </w:tcPr>
          <w:p w14:paraId="1086985C" w14:textId="59437C46" w:rsidR="00F50E93" w:rsidRPr="008B51C4" w:rsidRDefault="00AD0A99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auto"/>
          </w:tcPr>
          <w:p w14:paraId="168FB26E" w14:textId="77777777" w:rsidR="00F50E93" w:rsidRPr="00DE1119" w:rsidRDefault="00F50E93" w:rsidP="00B232B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14:paraId="21BCD17F" w14:textId="77777777" w:rsidR="00F50E93" w:rsidRPr="00DE1119" w:rsidRDefault="00F50E93" w:rsidP="00B232B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double" w:sz="2" w:space="0" w:color="auto"/>
            </w:tcBorders>
          </w:tcPr>
          <w:p w14:paraId="7E70AFB6" w14:textId="4B334E92" w:rsidR="00172D6C" w:rsidRPr="002637C8" w:rsidRDefault="00172D6C" w:rsidP="003B02A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085893" w:rsidRPr="00DE1119" w14:paraId="11DDBF79" w14:textId="4411DB1E" w:rsidTr="00602AAC">
        <w:trPr>
          <w:trHeight w:val="264"/>
        </w:trPr>
        <w:tc>
          <w:tcPr>
            <w:tcW w:w="510" w:type="pct"/>
            <w:gridSpan w:val="2"/>
            <w:tcBorders>
              <w:left w:val="double" w:sz="2" w:space="0" w:color="auto"/>
              <w:right w:val="nil"/>
            </w:tcBorders>
          </w:tcPr>
          <w:p w14:paraId="010B1D68" w14:textId="6CC8F4CB" w:rsidR="00F50E93" w:rsidRPr="00DE1119" w:rsidRDefault="00F50E9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TP.04</w:t>
            </w:r>
          </w:p>
        </w:tc>
        <w:tc>
          <w:tcPr>
            <w:tcW w:w="1738" w:type="pct"/>
            <w:gridSpan w:val="2"/>
            <w:tcBorders>
              <w:left w:val="nil"/>
            </w:tcBorders>
          </w:tcPr>
          <w:p w14:paraId="2273C54C" w14:textId="77777777" w:rsidR="00F50E93" w:rsidRPr="00655DF2" w:rsidRDefault="00F50E93" w:rsidP="00085893">
            <w:pPr>
              <w:ind w:left="-128"/>
              <w:rPr>
                <w:rFonts w:ascii="Calibri" w:hAnsi="Calibri" w:cs="Arial"/>
                <w:i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Establishes respectful communication with parents/guardians and develops relationships to supp</w:t>
            </w:r>
            <w:r>
              <w:rPr>
                <w:rFonts w:ascii="Calibri" w:hAnsi="Calibri" w:cs="Arial"/>
                <w:sz w:val="19"/>
                <w:szCs w:val="19"/>
              </w:rPr>
              <w:t>ort students’ learning</w:t>
            </w:r>
            <w:r w:rsidRPr="00DE1119">
              <w:rPr>
                <w:rFonts w:ascii="Calibri" w:hAnsi="Calibri" w:cs="Arial"/>
                <w:sz w:val="19"/>
                <w:szCs w:val="19"/>
              </w:rPr>
              <w:t>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6.3, 7.3</w:t>
            </w:r>
          </w:p>
        </w:tc>
        <w:tc>
          <w:tcPr>
            <w:tcW w:w="174" w:type="pct"/>
            <w:shd w:val="clear" w:color="auto" w:fill="auto"/>
            <w:vAlign w:val="center"/>
          </w:tcPr>
          <w:p w14:paraId="4E64B606" w14:textId="5D4020EE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75" w:type="pct"/>
            <w:vAlign w:val="center"/>
          </w:tcPr>
          <w:p w14:paraId="08A7D91D" w14:textId="39023FD8" w:rsidR="00F50E93" w:rsidRPr="008B51C4" w:rsidRDefault="008E77EB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auto"/>
          </w:tcPr>
          <w:p w14:paraId="2A40EFEC" w14:textId="265806EE" w:rsidR="00F50E93" w:rsidRPr="00DE1119" w:rsidRDefault="00F50E93" w:rsidP="00B232B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14:paraId="18410807" w14:textId="77777777" w:rsidR="00F50E93" w:rsidRPr="00DE1119" w:rsidRDefault="00F50E93" w:rsidP="00B232B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double" w:sz="2" w:space="0" w:color="auto"/>
            </w:tcBorders>
          </w:tcPr>
          <w:p w14:paraId="7C0FED6E" w14:textId="3B382591" w:rsidR="00E03396" w:rsidRPr="002637C8" w:rsidRDefault="00AB014B" w:rsidP="003B02A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 xml:space="preserve"> </w:t>
            </w:r>
          </w:p>
        </w:tc>
      </w:tr>
      <w:tr w:rsidR="00D825AE" w:rsidRPr="00DE1119" w14:paraId="422CDBBD" w14:textId="0A148582" w:rsidTr="00602AAC">
        <w:trPr>
          <w:trHeight w:val="1464"/>
        </w:trPr>
        <w:tc>
          <w:tcPr>
            <w:tcW w:w="498" w:type="pct"/>
            <w:tcBorders>
              <w:left w:val="double" w:sz="2" w:space="0" w:color="auto"/>
              <w:bottom w:val="single" w:sz="4" w:space="0" w:color="auto"/>
              <w:right w:val="nil"/>
            </w:tcBorders>
          </w:tcPr>
          <w:p w14:paraId="03075103" w14:textId="4162DE7D" w:rsidR="00F50E93" w:rsidRPr="00DE1119" w:rsidRDefault="00F50E93" w:rsidP="00085893">
            <w:pPr>
              <w:ind w:left="-128"/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TP.05</w:t>
            </w:r>
          </w:p>
        </w:tc>
        <w:tc>
          <w:tcPr>
            <w:tcW w:w="1750" w:type="pct"/>
            <w:gridSpan w:val="3"/>
            <w:tcBorders>
              <w:left w:val="nil"/>
              <w:bottom w:val="single" w:sz="4" w:space="0" w:color="auto"/>
            </w:tcBorders>
          </w:tcPr>
          <w:p w14:paraId="4ABBA194" w14:textId="77777777" w:rsidR="00F50E93" w:rsidRPr="00FA0B02" w:rsidRDefault="00F50E93" w:rsidP="00085893">
            <w:pPr>
              <w:ind w:left="-128"/>
              <w:rPr>
                <w:rFonts w:ascii="Calibri" w:hAnsi="Calibri" w:cs="Arial"/>
                <w:i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Demonstrates an ability to work collaboratively with families, teachers, paraprofessionals, specialists, and members of the greater community.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2.1, 7.2, 6.6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27B2B" w14:textId="219C495E" w:rsidR="00F50E93" w:rsidRPr="008B51C4" w:rsidRDefault="00F50E9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7AABE746" w14:textId="0EDE34E2" w:rsidR="00F50E93" w:rsidRPr="008B51C4" w:rsidRDefault="00A65600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auto"/>
          </w:tcPr>
          <w:p w14:paraId="2FD473A6" w14:textId="77777777" w:rsidR="00F50E93" w:rsidRPr="00DE1119" w:rsidRDefault="00F50E93" w:rsidP="00B232B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14:paraId="04656DAB" w14:textId="77777777" w:rsidR="00F50E93" w:rsidRPr="00DE1119" w:rsidRDefault="00F50E93" w:rsidP="00B232B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double" w:sz="2" w:space="0" w:color="auto"/>
            </w:tcBorders>
          </w:tcPr>
          <w:p w14:paraId="5052791C" w14:textId="740608CF" w:rsidR="00E3766B" w:rsidRPr="002637C8" w:rsidRDefault="00E3766B" w:rsidP="00E3766B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D825AE" w:rsidRPr="00DE1119" w14:paraId="750044F4" w14:textId="77777777" w:rsidTr="00602AAC">
        <w:trPr>
          <w:trHeight w:val="1464"/>
        </w:trPr>
        <w:tc>
          <w:tcPr>
            <w:tcW w:w="498" w:type="pct"/>
            <w:tcBorders>
              <w:left w:val="double" w:sz="2" w:space="0" w:color="auto"/>
              <w:bottom w:val="single" w:sz="4" w:space="0" w:color="auto"/>
              <w:right w:val="nil"/>
            </w:tcBorders>
          </w:tcPr>
          <w:p w14:paraId="79F35EA2" w14:textId="27D236BA" w:rsidR="00D825AE" w:rsidRPr="00DE1119" w:rsidRDefault="00D825AE" w:rsidP="00D825AE">
            <w:pPr>
              <w:ind w:left="-128"/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lastRenderedPageBreak/>
              <w:t xml:space="preserve">TP.06   </w:t>
            </w:r>
          </w:p>
        </w:tc>
        <w:tc>
          <w:tcPr>
            <w:tcW w:w="1750" w:type="pct"/>
            <w:gridSpan w:val="3"/>
            <w:tcBorders>
              <w:left w:val="nil"/>
              <w:bottom w:val="single" w:sz="4" w:space="0" w:color="auto"/>
            </w:tcBorders>
          </w:tcPr>
          <w:p w14:paraId="468A3817" w14:textId="77777777" w:rsidR="00D825AE" w:rsidRDefault="00D825AE" w:rsidP="00D825AE">
            <w:pPr>
              <w:ind w:left="-128"/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Understands and adheres to all professional, legal, and ethical responsibilities and policies</w:t>
            </w:r>
            <w:r>
              <w:rPr>
                <w:rFonts w:ascii="Calibri" w:hAnsi="Calibri" w:cs="Arial"/>
                <w:sz w:val="19"/>
                <w:szCs w:val="19"/>
              </w:rPr>
              <w:t xml:space="preserve"> and maintains high expectations for students.</w:t>
            </w:r>
          </w:p>
          <w:p w14:paraId="08827048" w14:textId="3F969EE0" w:rsidR="00D825AE" w:rsidRPr="00DE1119" w:rsidRDefault="00D825AE" w:rsidP="00D825AE">
            <w:pPr>
              <w:ind w:left="-128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Standards 6.1, 6.2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A1E5A" w14:textId="2B69E383" w:rsidR="00D825AE" w:rsidRDefault="00D825AE" w:rsidP="00D825A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780B0BE7" w14:textId="1A0DCFA4" w:rsidR="00D825AE" w:rsidRPr="008B51C4" w:rsidRDefault="00697B68" w:rsidP="00D825A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auto"/>
          </w:tcPr>
          <w:p w14:paraId="5AD4995F" w14:textId="77777777" w:rsidR="00D825AE" w:rsidRPr="00DE1119" w:rsidRDefault="00D825AE" w:rsidP="00D825A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14:paraId="290CC67A" w14:textId="77777777" w:rsidR="00D825AE" w:rsidRPr="00DE1119" w:rsidRDefault="00D825AE" w:rsidP="00D825A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double" w:sz="2" w:space="0" w:color="auto"/>
            </w:tcBorders>
          </w:tcPr>
          <w:p w14:paraId="6A26FE8D" w14:textId="268CE4F0" w:rsidR="00D825AE" w:rsidRPr="002637C8" w:rsidRDefault="00D825AE" w:rsidP="00D825AE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D825AE" w:rsidRPr="00DE1119" w14:paraId="1E177808" w14:textId="77777777" w:rsidTr="00602AAC">
        <w:trPr>
          <w:trHeight w:val="1464"/>
        </w:trPr>
        <w:tc>
          <w:tcPr>
            <w:tcW w:w="498" w:type="pct"/>
            <w:tcBorders>
              <w:left w:val="double" w:sz="2" w:space="0" w:color="auto"/>
              <w:bottom w:val="single" w:sz="4" w:space="0" w:color="auto"/>
              <w:right w:val="nil"/>
            </w:tcBorders>
          </w:tcPr>
          <w:p w14:paraId="55F29427" w14:textId="2A072356" w:rsidR="00D825AE" w:rsidRPr="00DE1119" w:rsidRDefault="00D825AE" w:rsidP="00D825AE">
            <w:pPr>
              <w:ind w:left="-128"/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TP.0</w:t>
            </w:r>
            <w:r>
              <w:rPr>
                <w:rFonts w:ascii="Calibri" w:hAnsi="Calibri" w:cs="Arial"/>
                <w:sz w:val="19"/>
                <w:szCs w:val="19"/>
              </w:rPr>
              <w:t>7</w:t>
            </w:r>
          </w:p>
        </w:tc>
        <w:tc>
          <w:tcPr>
            <w:tcW w:w="1750" w:type="pct"/>
            <w:gridSpan w:val="3"/>
            <w:tcBorders>
              <w:left w:val="nil"/>
              <w:bottom w:val="single" w:sz="4" w:space="0" w:color="auto"/>
            </w:tcBorders>
          </w:tcPr>
          <w:p w14:paraId="562A7110" w14:textId="6EE35462" w:rsidR="00D825AE" w:rsidRPr="00DE1119" w:rsidRDefault="00D825AE" w:rsidP="00D825AE">
            <w:pPr>
              <w:ind w:left="-128"/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Identifies, plans for, and monitors instructional roles of paraprofessionals.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6.6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044EF" w14:textId="77777777" w:rsidR="00D825AE" w:rsidRDefault="00D825AE" w:rsidP="00D825A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7DA161A8" w14:textId="6414E39A" w:rsidR="00D825AE" w:rsidRPr="008B51C4" w:rsidRDefault="00D825AE" w:rsidP="00D825A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175" w:type="pct"/>
            <w:tcBorders>
              <w:right w:val="single" w:sz="4" w:space="0" w:color="auto"/>
            </w:tcBorders>
            <w:shd w:val="clear" w:color="auto" w:fill="auto"/>
          </w:tcPr>
          <w:p w14:paraId="332C6C42" w14:textId="10A3A3EB" w:rsidR="00D825AE" w:rsidRPr="00DE1119" w:rsidRDefault="00A216D5" w:rsidP="00D825A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218" w:type="pct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</w:tcPr>
          <w:p w14:paraId="4A41EE20" w14:textId="77777777" w:rsidR="00D825AE" w:rsidRPr="00DE1119" w:rsidRDefault="00D825AE" w:rsidP="00D825AE">
            <w:pPr>
              <w:pStyle w:val="Header"/>
              <w:jc w:val="center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010" w:type="pct"/>
            <w:tcBorders>
              <w:left w:val="single" w:sz="4" w:space="0" w:color="auto"/>
              <w:right w:val="double" w:sz="2" w:space="0" w:color="auto"/>
            </w:tcBorders>
          </w:tcPr>
          <w:p w14:paraId="5E592CC5" w14:textId="063788DB" w:rsidR="00D825AE" w:rsidRPr="002637C8" w:rsidRDefault="00D825AE" w:rsidP="00D825AE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</w:tbl>
    <w:p w14:paraId="0B1E86B1" w14:textId="457D5C96" w:rsidR="0088409A" w:rsidRPr="00DE1119" w:rsidRDefault="0088409A" w:rsidP="0088409A">
      <w:pPr>
        <w:rPr>
          <w:rFonts w:ascii="Calibri" w:hAnsi="Calibri"/>
          <w:sz w:val="16"/>
          <w:szCs w:val="16"/>
        </w:rPr>
      </w:pPr>
    </w:p>
    <w:tbl>
      <w:tblPr>
        <w:tblW w:w="5091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16"/>
        <w:gridCol w:w="3694"/>
        <w:gridCol w:w="450"/>
        <w:gridCol w:w="450"/>
        <w:gridCol w:w="450"/>
        <w:gridCol w:w="450"/>
        <w:gridCol w:w="4770"/>
      </w:tblGrid>
      <w:tr w:rsidR="00B104F5" w:rsidRPr="00DE1119" w14:paraId="631B1CF0" w14:textId="24B6A704" w:rsidTr="00602AAC">
        <w:trPr>
          <w:cantSplit/>
          <w:trHeight w:val="1342"/>
        </w:trPr>
        <w:tc>
          <w:tcPr>
            <w:tcW w:w="2008" w:type="pct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FFECB7"/>
          </w:tcPr>
          <w:p w14:paraId="2D21F796" w14:textId="77777777" w:rsidR="00A03D58" w:rsidRPr="00DE1119" w:rsidRDefault="00A03D58" w:rsidP="00B232BE">
            <w:pPr>
              <w:pStyle w:val="Header"/>
              <w:ind w:left="1260" w:hanging="1260"/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</w:pPr>
            <w:r w:rsidRPr="00DE1119">
              <w:rPr>
                <w:rFonts w:ascii="Calibri" w:hAnsi="Calibri"/>
                <w:lang w:val="en-US" w:eastAsia="en-US"/>
              </w:rPr>
              <w:br w:type="page"/>
            </w:r>
            <w:r w:rsidRPr="00DE1119">
              <w:rPr>
                <w:rFonts w:ascii="Calibri" w:hAnsi="Calibri" w:cs="Arial"/>
                <w:b/>
                <w:sz w:val="22"/>
                <w:szCs w:val="22"/>
                <w:lang w:val="en-US" w:eastAsia="en-US"/>
              </w:rPr>
              <w:t>Effective Teaching</w:t>
            </w:r>
          </w:p>
          <w:p w14:paraId="0B2413AE" w14:textId="77777777" w:rsidR="00A03D58" w:rsidRPr="00DE1119" w:rsidRDefault="00A03D58" w:rsidP="00B232BE">
            <w:pPr>
              <w:pStyle w:val="Header"/>
              <w:ind w:left="1260" w:hanging="1260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</w:p>
          <w:p w14:paraId="0213BA0E" w14:textId="77777777" w:rsidR="00A03D58" w:rsidRPr="00623A11" w:rsidRDefault="00A03D58" w:rsidP="00B232BE">
            <w:pPr>
              <w:pStyle w:val="Header"/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</w:pPr>
            <w:r w:rsidRPr="00FA0B02">
              <w:rPr>
                <w:rFonts w:ascii="Calibri" w:hAnsi="Calibri" w:cs="Arial"/>
                <w:sz w:val="18"/>
                <w:szCs w:val="18"/>
                <w:lang w:val="en-US" w:eastAsia="en-US"/>
              </w:rPr>
              <w:t>A successful teacher candidate demonstrates the knowledge and skills for effective teaching which ensure a positive impact on student learning</w:t>
            </w:r>
            <w:r w:rsidRPr="00DE1119"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>.</w:t>
            </w:r>
            <w:r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 xml:space="preserve"> (</w:t>
            </w:r>
            <w:r w:rsidRPr="00165FAB"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>Based on CEC Initial Preparation Standards and Elements</w:t>
            </w: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05" w:type="pct"/>
            <w:tcBorders>
              <w:top w:val="double" w:sz="2" w:space="0" w:color="auto"/>
              <w:bottom w:val="single" w:sz="4" w:space="0" w:color="auto"/>
            </w:tcBorders>
            <w:shd w:val="clear" w:color="auto" w:fill="FFECB7"/>
            <w:textDirection w:val="btLr"/>
          </w:tcPr>
          <w:p w14:paraId="49D55545" w14:textId="77777777" w:rsidR="00A03D58" w:rsidRPr="00DE1119" w:rsidRDefault="00A03D58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DE1119">
              <w:rPr>
                <w:rFonts w:ascii="Calibri" w:hAnsi="Calibri" w:cs="Arial"/>
                <w:sz w:val="18"/>
                <w:szCs w:val="18"/>
                <w:lang w:val="en-US" w:eastAsia="en-US"/>
              </w:rPr>
              <w:t>Exemplary</w:t>
            </w:r>
          </w:p>
        </w:tc>
        <w:tc>
          <w:tcPr>
            <w:tcW w:w="205" w:type="pct"/>
            <w:tcBorders>
              <w:top w:val="double" w:sz="2" w:space="0" w:color="auto"/>
              <w:bottom w:val="single" w:sz="4" w:space="0" w:color="auto"/>
            </w:tcBorders>
            <w:shd w:val="clear" w:color="auto" w:fill="FFECB7"/>
            <w:textDirection w:val="btLr"/>
          </w:tcPr>
          <w:p w14:paraId="18351C07" w14:textId="77777777" w:rsidR="00A03D58" w:rsidRPr="00DE1119" w:rsidRDefault="00A03D58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DE1119">
              <w:rPr>
                <w:rFonts w:ascii="Calibri" w:hAnsi="Calibri" w:cs="Arial"/>
                <w:sz w:val="18"/>
                <w:szCs w:val="18"/>
                <w:lang w:val="en-US" w:eastAsia="en-US"/>
              </w:rPr>
              <w:t>Proficient</w:t>
            </w:r>
          </w:p>
        </w:tc>
        <w:tc>
          <w:tcPr>
            <w:tcW w:w="205" w:type="pct"/>
            <w:tcBorders>
              <w:top w:val="double" w:sz="2" w:space="0" w:color="auto"/>
              <w:bottom w:val="single" w:sz="4" w:space="0" w:color="auto"/>
            </w:tcBorders>
            <w:shd w:val="clear" w:color="auto" w:fill="FFECB7"/>
            <w:textDirection w:val="btLr"/>
          </w:tcPr>
          <w:p w14:paraId="4880E87F" w14:textId="77777777" w:rsidR="00A03D58" w:rsidRPr="00DE1119" w:rsidRDefault="00A03D58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Developing</w:t>
            </w:r>
          </w:p>
        </w:tc>
        <w:tc>
          <w:tcPr>
            <w:tcW w:w="205" w:type="pct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ECB7"/>
            <w:textDirection w:val="btLr"/>
          </w:tcPr>
          <w:p w14:paraId="14643392" w14:textId="77777777" w:rsidR="00A03D58" w:rsidRPr="00DE1119" w:rsidRDefault="00A03D58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Unsatisfactory</w:t>
            </w:r>
          </w:p>
        </w:tc>
        <w:tc>
          <w:tcPr>
            <w:tcW w:w="2173" w:type="pct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ECB7"/>
            <w:textDirection w:val="btLr"/>
          </w:tcPr>
          <w:p w14:paraId="0E31FA41" w14:textId="77777777" w:rsidR="00A03D58" w:rsidRDefault="00A03D58" w:rsidP="00B232BE">
            <w:pPr>
              <w:pStyle w:val="Header"/>
              <w:ind w:left="113" w:right="113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</w:p>
        </w:tc>
      </w:tr>
      <w:tr w:rsidR="00B104F5" w:rsidRPr="00DE1119" w14:paraId="541D67FA" w14:textId="2E5A5320" w:rsidTr="00602AAC">
        <w:trPr>
          <w:trHeight w:val="456"/>
        </w:trPr>
        <w:tc>
          <w:tcPr>
            <w:tcW w:w="326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nil"/>
            </w:tcBorders>
          </w:tcPr>
          <w:p w14:paraId="2232062B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ET.01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23776F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Uses assessment information to plan instruction</w:t>
            </w:r>
            <w:r>
              <w:rPr>
                <w:rFonts w:ascii="Calibri" w:hAnsi="Calibri" w:cs="Arial"/>
                <w:sz w:val="19"/>
                <w:szCs w:val="19"/>
              </w:rPr>
              <w:t xml:space="preserve">.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4.1, 4.2, 4.3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D909" w14:textId="792F89CD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7DD8E" w14:textId="4A324023" w:rsidR="00A03D58" w:rsidRPr="008B51C4" w:rsidRDefault="005B1634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B354E" w14:textId="1D4E6C8D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6C38A4F6" w14:textId="7EC9C318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2073F120" w14:textId="1B89FFD8" w:rsidR="00086FEF" w:rsidRPr="005B1634" w:rsidRDefault="00086FEF" w:rsidP="00085893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104F5" w:rsidRPr="00DE1119" w14:paraId="74A4ED74" w14:textId="0E40B98A" w:rsidTr="00602AAC">
        <w:tc>
          <w:tcPr>
            <w:tcW w:w="326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nil"/>
            </w:tcBorders>
          </w:tcPr>
          <w:p w14:paraId="072AD058" w14:textId="7B856C49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ET.02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877060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Identifies and plans for connections among IEP goals, related standards, content objectives, and instructional strategies.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3.1, 3.2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D364" w14:textId="7F9D9ACF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65DE" w14:textId="5419EF8C" w:rsidR="00A03D58" w:rsidRPr="008B51C4" w:rsidRDefault="00473D3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0B483" w14:textId="6ADDAE4E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65D9EEA4" w14:textId="0C386740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641A8E71" w14:textId="1828C37C" w:rsidR="00EF49E2" w:rsidRPr="00086FEF" w:rsidRDefault="00EF49E2" w:rsidP="003B02A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76FA353F" w14:textId="69D75E70" w:rsidTr="00602AAC">
        <w:tc>
          <w:tcPr>
            <w:tcW w:w="326" w:type="pct"/>
            <w:tcBorders>
              <w:top w:val="single" w:sz="4" w:space="0" w:color="auto"/>
              <w:left w:val="double" w:sz="2" w:space="0" w:color="auto"/>
              <w:right w:val="nil"/>
            </w:tcBorders>
          </w:tcPr>
          <w:p w14:paraId="76368036" w14:textId="3CAFBDFD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ET.03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</w:tcBorders>
          </w:tcPr>
          <w:p w14:paraId="23E1883D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Plans for opportunities to teach motivation and self-management.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2.2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14:paraId="1E343FF0" w14:textId="69C69A9D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14:paraId="5585A15E" w14:textId="0E8F0633" w:rsidR="00A03D58" w:rsidRPr="008B51C4" w:rsidRDefault="00BE04B0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14:paraId="028C826C" w14:textId="1FED93B8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double" w:sz="2" w:space="0" w:color="auto"/>
            </w:tcBorders>
            <w:vAlign w:val="center"/>
          </w:tcPr>
          <w:p w14:paraId="63741298" w14:textId="75C6A20E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top w:val="single" w:sz="4" w:space="0" w:color="auto"/>
              <w:right w:val="double" w:sz="2" w:space="0" w:color="auto"/>
            </w:tcBorders>
          </w:tcPr>
          <w:p w14:paraId="064EE348" w14:textId="6EE0207F" w:rsidR="00E35E67" w:rsidRPr="00E35E67" w:rsidRDefault="00E35E67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0AC90E14" w14:textId="1B71E68C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77D9B588" w14:textId="1898766C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ET.04</w:t>
            </w:r>
          </w:p>
        </w:tc>
        <w:tc>
          <w:tcPr>
            <w:tcW w:w="1682" w:type="pct"/>
            <w:tcBorders>
              <w:left w:val="nil"/>
            </w:tcBorders>
          </w:tcPr>
          <w:p w14:paraId="76162826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</w:rPr>
              <w:t>Writes lesson, activity and unit objectives that are clear, specific, measurable, and aligned with students’ IEP goals and common core standards.</w:t>
            </w:r>
            <w:r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5.5</w:t>
            </w:r>
          </w:p>
        </w:tc>
        <w:tc>
          <w:tcPr>
            <w:tcW w:w="205" w:type="pct"/>
            <w:vAlign w:val="center"/>
          </w:tcPr>
          <w:p w14:paraId="4B0F42D9" w14:textId="03265F17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23846137" w14:textId="5CD4C4F3" w:rsidR="00A03D58" w:rsidRPr="008B51C4" w:rsidRDefault="006C31FC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2892416A" w14:textId="7471EB3B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0DE44F76" w14:textId="093940A7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7BA654D5" w14:textId="274B87AC" w:rsidR="00B104F5" w:rsidRDefault="00B104F5" w:rsidP="0008589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1D149016" w14:textId="371176A0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5E2DCF2F" w14:textId="36AD640E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ET.05</w:t>
            </w:r>
          </w:p>
        </w:tc>
        <w:tc>
          <w:tcPr>
            <w:tcW w:w="1682" w:type="pct"/>
            <w:tcBorders>
              <w:left w:val="nil"/>
            </w:tcBorders>
          </w:tcPr>
          <w:p w14:paraId="1E722793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 xml:space="preserve">Identifies and plans for communication demands of lessons or activities.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3.2,5.3, 5.4</w:t>
            </w:r>
          </w:p>
        </w:tc>
        <w:tc>
          <w:tcPr>
            <w:tcW w:w="205" w:type="pct"/>
            <w:vAlign w:val="center"/>
          </w:tcPr>
          <w:p w14:paraId="1C6502A7" w14:textId="5EEFC87D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6A2388BF" w14:textId="45DC9D2B" w:rsidR="00A03D58" w:rsidRPr="008B51C4" w:rsidRDefault="00FF6B61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7041FD8C" w14:textId="2365695E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2EA8CEDC" w14:textId="00038DD9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3400ACB8" w14:textId="17A09BBE" w:rsidR="002B6A04" w:rsidRDefault="002B6A04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118DA9B4" w14:textId="18EEEB75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38E85E61" w14:textId="30F45AC3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ET.06</w:t>
            </w:r>
          </w:p>
        </w:tc>
        <w:tc>
          <w:tcPr>
            <w:tcW w:w="1682" w:type="pct"/>
            <w:tcBorders>
              <w:left w:val="nil"/>
            </w:tcBorders>
          </w:tcPr>
          <w:p w14:paraId="45798688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Selects instructional models</w:t>
            </w:r>
            <w:r>
              <w:rPr>
                <w:rFonts w:ascii="Calibri" w:hAnsi="Calibri" w:cs="Arial"/>
                <w:sz w:val="19"/>
                <w:szCs w:val="19"/>
              </w:rPr>
              <w:t>,</w:t>
            </w:r>
            <w:r w:rsidRPr="00DE1119">
              <w:rPr>
                <w:rFonts w:ascii="Calibri" w:hAnsi="Calibri" w:cs="Arial"/>
                <w:sz w:val="19"/>
                <w:szCs w:val="19"/>
              </w:rPr>
              <w:t xml:space="preserve"> methods based </w:t>
            </w:r>
            <w:r>
              <w:rPr>
                <w:rFonts w:ascii="Calibri" w:hAnsi="Calibri" w:cs="Arial"/>
                <w:sz w:val="19"/>
                <w:szCs w:val="19"/>
              </w:rPr>
              <w:t xml:space="preserve">on </w:t>
            </w:r>
            <w:r w:rsidRPr="00DE1119">
              <w:rPr>
                <w:rFonts w:ascii="Calibri" w:hAnsi="Calibri" w:cs="Arial"/>
                <w:sz w:val="19"/>
                <w:szCs w:val="19"/>
              </w:rPr>
              <w:t>content</w:t>
            </w:r>
            <w:r>
              <w:rPr>
                <w:rFonts w:ascii="Calibri" w:hAnsi="Calibri" w:cs="Arial"/>
                <w:sz w:val="19"/>
                <w:szCs w:val="19"/>
              </w:rPr>
              <w:t xml:space="preserve"> &amp;student </w:t>
            </w:r>
            <w:r w:rsidRPr="00DE1119">
              <w:rPr>
                <w:rFonts w:ascii="Calibri" w:hAnsi="Calibri" w:cs="Arial"/>
                <w:sz w:val="19"/>
                <w:szCs w:val="19"/>
              </w:rPr>
              <w:t>skills</w:t>
            </w:r>
            <w:r>
              <w:rPr>
                <w:rFonts w:ascii="Calibri" w:hAnsi="Calibri" w:cs="Arial"/>
                <w:sz w:val="19"/>
                <w:szCs w:val="19"/>
              </w:rPr>
              <w:t>,</w:t>
            </w:r>
            <w:r w:rsidRPr="00DE1119">
              <w:rPr>
                <w:rFonts w:ascii="Calibri" w:hAnsi="Calibri" w:cs="Arial"/>
                <w:sz w:val="19"/>
                <w:szCs w:val="19"/>
              </w:rPr>
              <w:t xml:space="preserve"> needs.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S 3.1, 3.2, 3.3 </w:t>
            </w:r>
          </w:p>
        </w:tc>
        <w:tc>
          <w:tcPr>
            <w:tcW w:w="205" w:type="pct"/>
            <w:vAlign w:val="center"/>
          </w:tcPr>
          <w:p w14:paraId="622ADA55" w14:textId="06106AEF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2106E14C" w14:textId="767614CE" w:rsidR="00A03D58" w:rsidRPr="008B51C4" w:rsidRDefault="0035168B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1FFDE219" w14:textId="2B092058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69D7A97A" w14:textId="04444CCB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20CBAE77" w14:textId="07837BBA" w:rsidR="0026408C" w:rsidRDefault="0026408C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3FF2F6DE" w14:textId="40F0BF3B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02B425F4" w14:textId="40FABE70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ET.07</w:t>
            </w:r>
          </w:p>
        </w:tc>
        <w:tc>
          <w:tcPr>
            <w:tcW w:w="1682" w:type="pct"/>
            <w:tcBorders>
              <w:left w:val="nil"/>
            </w:tcBorders>
          </w:tcPr>
          <w:p w14:paraId="5420A0A9" w14:textId="77777777" w:rsidR="00A03D58" w:rsidRPr="00430FCE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  <w:shd w:val="clear" w:color="auto" w:fill="FFFFFF"/>
              </w:rPr>
            </w:pPr>
            <w:r w:rsidRPr="00DE1119"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</w:rPr>
              <w:t>Prepares lesson/activity plans complete, correct, appropriate, and evidence-based.</w:t>
            </w:r>
            <w:r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3.1</w:t>
            </w:r>
          </w:p>
        </w:tc>
        <w:tc>
          <w:tcPr>
            <w:tcW w:w="205" w:type="pct"/>
            <w:vAlign w:val="center"/>
          </w:tcPr>
          <w:p w14:paraId="02C054E2" w14:textId="3EE3021B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27851248" w14:textId="182A8D0A" w:rsidR="00A03D58" w:rsidRPr="008B51C4" w:rsidRDefault="0035168B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371B2622" w14:textId="33716D89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2792A5E4" w14:textId="3BE1F095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6EE51685" w14:textId="5A2E4EC8" w:rsidR="0026408C" w:rsidRPr="0026408C" w:rsidRDefault="0026408C" w:rsidP="00733D2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7C28E833" w14:textId="659DCF38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66F570B9" w14:textId="551CA796" w:rsidR="00A03D58" w:rsidRPr="00DE1119" w:rsidRDefault="00A03D58" w:rsidP="00B232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ET.08</w:t>
            </w:r>
          </w:p>
        </w:tc>
        <w:tc>
          <w:tcPr>
            <w:tcW w:w="1682" w:type="pct"/>
            <w:tcBorders>
              <w:left w:val="nil"/>
            </w:tcBorders>
          </w:tcPr>
          <w:p w14:paraId="70F24D62" w14:textId="77777777" w:rsidR="00A03D58" w:rsidRPr="008B1825" w:rsidRDefault="00A03D58" w:rsidP="00B232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  <w:lang w:val="en-US" w:eastAsia="en-US"/>
              </w:rPr>
              <w:t>Implements long range plans</w:t>
            </w:r>
            <w:r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  <w:lang w:val="en-US" w:eastAsia="en-US"/>
              </w:rPr>
              <w:t xml:space="preserve"> for mastery and generalization</w:t>
            </w:r>
            <w:r w:rsidRPr="00DE1119"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  <w:lang w:val="en-US" w:eastAsia="en-US"/>
              </w:rPr>
              <w:t>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Standards</w:t>
            </w:r>
            <w:r>
              <w:rPr>
                <w:rFonts w:ascii="Calibri" w:hAnsi="Calibri" w:cs="Arial"/>
                <w:i/>
                <w:sz w:val="19"/>
                <w:szCs w:val="19"/>
                <w:lang w:val="en-US"/>
              </w:rPr>
              <w:t xml:space="preserve"> 5.5 ,5.6, 5.7</w:t>
            </w:r>
          </w:p>
        </w:tc>
        <w:tc>
          <w:tcPr>
            <w:tcW w:w="205" w:type="pct"/>
            <w:vAlign w:val="center"/>
          </w:tcPr>
          <w:p w14:paraId="1A8FA330" w14:textId="25D490E3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13742236" w14:textId="1F1174DF" w:rsidR="00A03D58" w:rsidRPr="008B51C4" w:rsidRDefault="00C75AEA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695126D0" w14:textId="7BBD4F99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694AF86A" w14:textId="6528563C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72238E8D" w14:textId="3D91420C" w:rsidR="0026408C" w:rsidRPr="0026408C" w:rsidRDefault="0026408C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0BF1533D" w14:textId="5920B70D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4860E9BB" w14:textId="6EC87A28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ET.09</w:t>
            </w:r>
          </w:p>
        </w:tc>
        <w:tc>
          <w:tcPr>
            <w:tcW w:w="1682" w:type="pct"/>
            <w:tcBorders>
              <w:left w:val="nil"/>
            </w:tcBorders>
          </w:tcPr>
          <w:p w14:paraId="48F398DA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</w:rPr>
              <w:t>Plan</w:t>
            </w:r>
            <w:r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</w:rPr>
              <w:t>ning</w:t>
            </w:r>
            <w:r w:rsidRPr="00DE1119"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</w:rPr>
              <w:t xml:space="preserve"> include</w:t>
            </w:r>
            <w:r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</w:rPr>
              <w:t>s</w:t>
            </w:r>
            <w:r w:rsidRPr="00DE1119">
              <w:rPr>
                <w:rStyle w:val="StyleHeader9ptPatternClearLightGreenChar"/>
                <w:rFonts w:ascii="Calibri" w:hAnsi="Calibri" w:cs="Arial"/>
                <w:sz w:val="19"/>
                <w:szCs w:val="19"/>
                <w:shd w:val="clear" w:color="auto" w:fill="FFFFFF"/>
              </w:rPr>
              <w:t xml:space="preserve"> accommodations and modifications to instruction, curriculum, and management based on individual student strengths and needs.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Standards 2.2, 3.2, 5.1, 5.5</w:t>
            </w:r>
          </w:p>
        </w:tc>
        <w:tc>
          <w:tcPr>
            <w:tcW w:w="205" w:type="pct"/>
            <w:vAlign w:val="center"/>
          </w:tcPr>
          <w:p w14:paraId="443BCEF1" w14:textId="68EDFBC3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457ED508" w14:textId="5C14E968" w:rsidR="00A03D58" w:rsidRPr="008B51C4" w:rsidRDefault="00876FE1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2DBF79CF" w14:textId="294B281A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25B0D53D" w14:textId="40B92D34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571B4311" w14:textId="089F95B6" w:rsidR="00A61956" w:rsidRPr="00762BED" w:rsidRDefault="00A61956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24FDBF43" w14:textId="4BE8B8BE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441308FA" w14:textId="3686290B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ET.10</w:t>
            </w:r>
          </w:p>
        </w:tc>
        <w:tc>
          <w:tcPr>
            <w:tcW w:w="1682" w:type="pct"/>
            <w:tcBorders>
              <w:left w:val="nil"/>
            </w:tcBorders>
          </w:tcPr>
          <w:p w14:paraId="294C330B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trike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Presentations are interesting; teacher is enthusiastic.</w:t>
            </w:r>
          </w:p>
        </w:tc>
        <w:tc>
          <w:tcPr>
            <w:tcW w:w="205" w:type="pct"/>
            <w:vAlign w:val="center"/>
          </w:tcPr>
          <w:p w14:paraId="6B4EE6C3" w14:textId="0CE06533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4CF7C8C4" w14:textId="1639C728" w:rsidR="00A03D58" w:rsidRPr="008B51C4" w:rsidRDefault="0005619F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58DDDFD8" w14:textId="32C76B77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52E136BC" w14:textId="776B8F8D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3A043B7F" w14:textId="6D3F284D" w:rsidR="00A30FCD" w:rsidRDefault="00A30FCD" w:rsidP="0008589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790FF770" w14:textId="4F6B553F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359F3592" w14:textId="2E9C65AB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ET.11</w:t>
            </w:r>
          </w:p>
        </w:tc>
        <w:tc>
          <w:tcPr>
            <w:tcW w:w="1682" w:type="pct"/>
            <w:tcBorders>
              <w:left w:val="nil"/>
            </w:tcBorders>
          </w:tcPr>
          <w:p w14:paraId="37D6FFC6" w14:textId="77777777" w:rsidR="00A03D58" w:rsidRPr="00DE1119" w:rsidRDefault="00A03D58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Teaches lessons that are sensitive to diverse populations or perspectives.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Standards 5.1, 5.7</w:t>
            </w:r>
          </w:p>
        </w:tc>
        <w:tc>
          <w:tcPr>
            <w:tcW w:w="205" w:type="pct"/>
            <w:vAlign w:val="center"/>
          </w:tcPr>
          <w:p w14:paraId="4E1F31AF" w14:textId="17970496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1DC1EFDA" w14:textId="0DA2D438" w:rsidR="00A03D58" w:rsidRPr="008B51C4" w:rsidRDefault="00342F0F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341B398A" w14:textId="3AB42509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137B3794" w14:textId="55E24DBD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63B2311E" w14:textId="2AFA133A" w:rsidR="00547FE7" w:rsidRPr="00547FE7" w:rsidRDefault="00547FE7" w:rsidP="00733D2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7BC1FE0E" w14:textId="461346EE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7494793F" w14:textId="4B6133B8" w:rsidR="00A03D58" w:rsidRPr="00DE1119" w:rsidRDefault="00A03D58" w:rsidP="00B232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ET.12</w:t>
            </w:r>
          </w:p>
        </w:tc>
        <w:tc>
          <w:tcPr>
            <w:tcW w:w="1682" w:type="pct"/>
            <w:tcBorders>
              <w:left w:val="nil"/>
            </w:tcBorders>
          </w:tcPr>
          <w:p w14:paraId="7EFC65F0" w14:textId="77777777" w:rsidR="00A03D58" w:rsidRPr="008B1825" w:rsidRDefault="00A03D58" w:rsidP="00B232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Uses effective openings for lessons and activities.</w:t>
            </w: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3.1, 3.2</w:t>
            </w:r>
          </w:p>
        </w:tc>
        <w:tc>
          <w:tcPr>
            <w:tcW w:w="205" w:type="pct"/>
            <w:vAlign w:val="center"/>
          </w:tcPr>
          <w:p w14:paraId="33DF925D" w14:textId="4D20B388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22FEBC19" w14:textId="24BF7B80" w:rsidR="00A03D58" w:rsidRPr="008B51C4" w:rsidRDefault="00CD7820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2182DB68" w14:textId="4498E656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3427F3D5" w14:textId="46DDC344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6C94FC0A" w14:textId="56C05848" w:rsidR="008077BB" w:rsidRPr="008077BB" w:rsidRDefault="008077BB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54740E70" w14:textId="2A95F4D5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5C3C4A75" w14:textId="6DACAEDC" w:rsidR="00A03D58" w:rsidRPr="00DE1119" w:rsidRDefault="00A03D58" w:rsidP="00B232BE">
            <w:pPr>
              <w:pStyle w:val="Header"/>
              <w:tabs>
                <w:tab w:val="clear" w:pos="4320"/>
                <w:tab w:val="clear" w:pos="8640"/>
                <w:tab w:val="left" w:pos="349"/>
              </w:tabs>
              <w:jc w:val="both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ET.13</w:t>
            </w:r>
          </w:p>
        </w:tc>
        <w:tc>
          <w:tcPr>
            <w:tcW w:w="1682" w:type="pct"/>
            <w:tcBorders>
              <w:left w:val="nil"/>
            </w:tcBorders>
          </w:tcPr>
          <w:p w14:paraId="10014F96" w14:textId="77777777" w:rsidR="00A03D58" w:rsidRPr="00DE1119" w:rsidRDefault="00A03D58" w:rsidP="00B232BE">
            <w:pPr>
              <w:pStyle w:val="Header"/>
              <w:tabs>
                <w:tab w:val="clear" w:pos="4320"/>
                <w:tab w:val="clear" w:pos="8640"/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Uses clear, complete and accurate explanations of content.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 3.2</w:t>
            </w:r>
          </w:p>
        </w:tc>
        <w:tc>
          <w:tcPr>
            <w:tcW w:w="205" w:type="pct"/>
            <w:vAlign w:val="center"/>
          </w:tcPr>
          <w:p w14:paraId="1D56E23F" w14:textId="2F94F41C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29323992" w14:textId="5B710DB1" w:rsidR="00A03D58" w:rsidRPr="008B51C4" w:rsidRDefault="001D55F5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06D74FBD" w14:textId="454A13C5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0D1AB3E5" w14:textId="5A03484A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55DE6A1E" w14:textId="2C07B58C" w:rsidR="00196A3B" w:rsidRPr="00196A3B" w:rsidRDefault="00196A3B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B104F5" w:rsidRPr="00DE1119" w14:paraId="28D2E597" w14:textId="5099D977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035ACC03" w14:textId="75F9FA12" w:rsidR="00A03D58" w:rsidRPr="00DE1119" w:rsidRDefault="00A03D58" w:rsidP="00B232BE">
            <w:pPr>
              <w:pStyle w:val="Header"/>
              <w:tabs>
                <w:tab w:val="clear" w:pos="4320"/>
                <w:tab w:val="clear" w:pos="8640"/>
                <w:tab w:val="left" w:pos="349"/>
              </w:tabs>
              <w:jc w:val="both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ET.14</w:t>
            </w:r>
          </w:p>
        </w:tc>
        <w:tc>
          <w:tcPr>
            <w:tcW w:w="1682" w:type="pct"/>
            <w:tcBorders>
              <w:left w:val="nil"/>
            </w:tcBorders>
          </w:tcPr>
          <w:p w14:paraId="4D514317" w14:textId="77777777" w:rsidR="00A03D58" w:rsidRPr="00DE1119" w:rsidRDefault="00A03D58" w:rsidP="00B232BE">
            <w:pPr>
              <w:pStyle w:val="Header"/>
              <w:tabs>
                <w:tab w:val="clear" w:pos="4320"/>
                <w:tab w:val="clear" w:pos="8640"/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Includes effective demonstrations/modeling whenever necessary.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 3.1, 3.2, 3.3</w:t>
            </w:r>
          </w:p>
        </w:tc>
        <w:tc>
          <w:tcPr>
            <w:tcW w:w="205" w:type="pct"/>
            <w:vAlign w:val="center"/>
          </w:tcPr>
          <w:p w14:paraId="4187A571" w14:textId="2505BD51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0BE2C2F6" w14:textId="3213E87B" w:rsidR="00A03D58" w:rsidRPr="008B51C4" w:rsidRDefault="003E1EB1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155E01DB" w14:textId="40CA95B1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5279E1A9" w14:textId="747FCDE2" w:rsidR="00A03D58" w:rsidRPr="008B51C4" w:rsidRDefault="00A03D58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39387888" w14:textId="3ECC8B35" w:rsidR="004B18C3" w:rsidRPr="004B18C3" w:rsidRDefault="004B18C3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440070FC" w14:textId="4674CC21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3DBE997D" w14:textId="2CACC9ED" w:rsidR="004B18C3" w:rsidRPr="00DE1119" w:rsidRDefault="004B18C3" w:rsidP="00B232BE">
            <w:pPr>
              <w:pStyle w:val="Header"/>
              <w:tabs>
                <w:tab w:val="clear" w:pos="4320"/>
                <w:tab w:val="clear" w:pos="8640"/>
                <w:tab w:val="left" w:pos="349"/>
              </w:tabs>
              <w:jc w:val="both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ET.15</w:t>
            </w:r>
          </w:p>
        </w:tc>
        <w:tc>
          <w:tcPr>
            <w:tcW w:w="1682" w:type="pct"/>
            <w:tcBorders>
              <w:left w:val="nil"/>
            </w:tcBorders>
          </w:tcPr>
          <w:p w14:paraId="54131CC3" w14:textId="77777777" w:rsidR="004B18C3" w:rsidRPr="008B1825" w:rsidRDefault="004B18C3" w:rsidP="00B232BE">
            <w:pPr>
              <w:pStyle w:val="Header"/>
              <w:tabs>
                <w:tab w:val="clear" w:pos="4320"/>
                <w:tab w:val="clear" w:pos="8640"/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Provides congruent supervised and extended practice with feedback.</w:t>
            </w: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</w:t>
            </w:r>
            <w:r>
              <w:rPr>
                <w:rFonts w:ascii="Calibri" w:hAnsi="Calibri" w:cs="Arial"/>
                <w:i/>
                <w:sz w:val="19"/>
                <w:szCs w:val="19"/>
                <w:lang w:val="en-US"/>
              </w:rPr>
              <w:t xml:space="preserve"> 3.2,3.3 4.4</w:t>
            </w:r>
          </w:p>
        </w:tc>
        <w:tc>
          <w:tcPr>
            <w:tcW w:w="205" w:type="pct"/>
            <w:vAlign w:val="center"/>
          </w:tcPr>
          <w:p w14:paraId="7C434232" w14:textId="683C897D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3B4F84CE" w14:textId="6232685A" w:rsidR="004B18C3" w:rsidRPr="008B51C4" w:rsidRDefault="00057229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74A6AA6D" w14:textId="30F90289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38E4FE66" w14:textId="0E88CBA4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09C7D5D9" w14:textId="480557CE" w:rsidR="00231130" w:rsidRDefault="00231130" w:rsidP="0008589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587466E3" w14:textId="5263A0BA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5FFB5CE5" w14:textId="77777777" w:rsidR="004B18C3" w:rsidRPr="00DE1119" w:rsidRDefault="004B18C3" w:rsidP="00B232BE">
            <w:pPr>
              <w:pStyle w:val="Header"/>
              <w:tabs>
                <w:tab w:val="clear" w:pos="4320"/>
                <w:tab w:val="clear" w:pos="8640"/>
                <w:tab w:val="left" w:pos="349"/>
              </w:tabs>
              <w:jc w:val="both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ET.16</w:t>
            </w:r>
          </w:p>
        </w:tc>
        <w:tc>
          <w:tcPr>
            <w:tcW w:w="1682" w:type="pct"/>
            <w:tcBorders>
              <w:left w:val="nil"/>
            </w:tcBorders>
          </w:tcPr>
          <w:p w14:paraId="4927A5DE" w14:textId="77777777" w:rsidR="004B18C3" w:rsidRPr="008B1825" w:rsidRDefault="004B18C3" w:rsidP="00B232BE">
            <w:pPr>
              <w:pStyle w:val="Header"/>
              <w:tabs>
                <w:tab w:val="clear" w:pos="4320"/>
                <w:tab w:val="clear" w:pos="8640"/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Uses a hierarchy of questioning strategies and appropriate error correction.</w:t>
            </w: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</w:t>
            </w:r>
            <w:r>
              <w:rPr>
                <w:rFonts w:ascii="Calibri" w:hAnsi="Calibri" w:cs="Arial"/>
                <w:i/>
                <w:sz w:val="19"/>
                <w:szCs w:val="19"/>
                <w:lang w:val="en-US"/>
              </w:rPr>
              <w:t xml:space="preserve"> 3.2, 4.4, 5.6, 5.7</w:t>
            </w:r>
          </w:p>
        </w:tc>
        <w:tc>
          <w:tcPr>
            <w:tcW w:w="205" w:type="pct"/>
            <w:vAlign w:val="center"/>
          </w:tcPr>
          <w:p w14:paraId="111305FA" w14:textId="22D227F9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21D8F082" w14:textId="692677A6" w:rsidR="004B18C3" w:rsidRPr="008B51C4" w:rsidRDefault="00DD625E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1A8F76E8" w14:textId="2E4A57C9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0CD1674B" w14:textId="624C9057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5319D091" w14:textId="100654BA" w:rsidR="004125D6" w:rsidRDefault="004125D6" w:rsidP="00DD625E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34B5C054" w14:textId="20633214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049BE69D" w14:textId="0343475D" w:rsidR="004B18C3" w:rsidRPr="00DE1119" w:rsidRDefault="004B18C3" w:rsidP="00B232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>ET.17</w:t>
            </w:r>
          </w:p>
        </w:tc>
        <w:tc>
          <w:tcPr>
            <w:tcW w:w="1682" w:type="pct"/>
            <w:tcBorders>
              <w:left w:val="nil"/>
            </w:tcBorders>
          </w:tcPr>
          <w:p w14:paraId="6BEAC7D6" w14:textId="77777777" w:rsidR="004B18C3" w:rsidRPr="008B1825" w:rsidRDefault="004B18C3" w:rsidP="00B232BE">
            <w:pPr>
              <w:pStyle w:val="Header"/>
              <w:shd w:val="clear" w:color="auto" w:fill="FFFFFF"/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 w:rsidRPr="00DE1119">
              <w:rPr>
                <w:rFonts w:ascii="Calibri" w:hAnsi="Calibri" w:cs="Arial"/>
                <w:sz w:val="19"/>
                <w:szCs w:val="19"/>
                <w:lang w:val="en-US" w:eastAsia="en-US"/>
              </w:rPr>
              <w:t xml:space="preserve">Uses appropriate technology to supplement explanations and demonstrations (including assistive and augmentative technology).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</w:t>
            </w:r>
            <w:r>
              <w:rPr>
                <w:rFonts w:ascii="Calibri" w:hAnsi="Calibri" w:cs="Arial"/>
                <w:i/>
                <w:sz w:val="19"/>
                <w:szCs w:val="19"/>
                <w:lang w:val="en-US"/>
              </w:rPr>
              <w:t xml:space="preserve"> 5.2, 5.3</w:t>
            </w:r>
          </w:p>
        </w:tc>
        <w:tc>
          <w:tcPr>
            <w:tcW w:w="205" w:type="pct"/>
            <w:vAlign w:val="center"/>
          </w:tcPr>
          <w:p w14:paraId="29013C6D" w14:textId="782B4B06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2F77F9CA" w14:textId="630BF5B7" w:rsidR="004B18C3" w:rsidRPr="008B51C4" w:rsidRDefault="00474E77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28B68C35" w14:textId="5CDE53E8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7E2D8E37" w14:textId="345B3F52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1884F638" w14:textId="5DED23B5" w:rsidR="004125D6" w:rsidRDefault="004125D6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2AC4A17D" w14:textId="3FE68ABA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3BA0232B" w14:textId="6A2D2A0D" w:rsidR="004B18C3" w:rsidRPr="008C3C1D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8C3C1D">
              <w:rPr>
                <w:rFonts w:ascii="Calibri" w:hAnsi="Calibri" w:cs="Arial"/>
                <w:sz w:val="19"/>
                <w:szCs w:val="19"/>
              </w:rPr>
              <w:t>ET.18</w:t>
            </w:r>
          </w:p>
        </w:tc>
        <w:tc>
          <w:tcPr>
            <w:tcW w:w="1682" w:type="pct"/>
            <w:tcBorders>
              <w:left w:val="nil"/>
            </w:tcBorders>
          </w:tcPr>
          <w:p w14:paraId="0971FB7F" w14:textId="77777777" w:rsidR="004B18C3" w:rsidRPr="008C3C1D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8C3C1D">
              <w:rPr>
                <w:rFonts w:ascii="Calibri" w:hAnsi="Calibri" w:cs="Arial"/>
                <w:sz w:val="19"/>
                <w:szCs w:val="19"/>
              </w:rPr>
              <w:t xml:space="preserve">Uses a variety of active participation strategies and uses them frequently. </w:t>
            </w:r>
            <w:r w:rsidRPr="008C3C1D">
              <w:rPr>
                <w:rFonts w:ascii="Calibri" w:hAnsi="Calibri" w:cs="Arial"/>
                <w:i/>
                <w:sz w:val="19"/>
                <w:szCs w:val="19"/>
              </w:rPr>
              <w:t>Standards 3.2, 3.3, 4.4, 5.6</w:t>
            </w:r>
          </w:p>
        </w:tc>
        <w:tc>
          <w:tcPr>
            <w:tcW w:w="205" w:type="pct"/>
            <w:vAlign w:val="center"/>
          </w:tcPr>
          <w:p w14:paraId="74C9E690" w14:textId="2FEA2CA7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009F21B2" w14:textId="3D6D19D8" w:rsidR="004B18C3" w:rsidRPr="008B51C4" w:rsidRDefault="00357306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73DC550B" w14:textId="162C0840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66B78DB7" w14:textId="4C272E67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0A64C6E2" w14:textId="6D7FC32C" w:rsidR="00C17DA5" w:rsidRDefault="00C17DA5" w:rsidP="004125D6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3CB5EE80" w14:textId="572E8040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5474037D" w14:textId="1A4B75AB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ET.19</w:t>
            </w:r>
          </w:p>
        </w:tc>
        <w:tc>
          <w:tcPr>
            <w:tcW w:w="1682" w:type="pct"/>
            <w:tcBorders>
              <w:left w:val="nil"/>
            </w:tcBorders>
          </w:tcPr>
          <w:p w14:paraId="01B6AC67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 xml:space="preserve">Uses </w:t>
            </w:r>
            <w:r>
              <w:rPr>
                <w:rFonts w:ascii="Calibri" w:hAnsi="Calibri" w:cs="Arial"/>
                <w:sz w:val="19"/>
                <w:szCs w:val="19"/>
              </w:rPr>
              <w:t>a variety of formative assessments and</w:t>
            </w:r>
            <w:r w:rsidRPr="00DE1119">
              <w:rPr>
                <w:rFonts w:ascii="Calibri" w:hAnsi="Calibri" w:cs="Arial"/>
                <w:sz w:val="19"/>
                <w:szCs w:val="19"/>
              </w:rPr>
              <w:t xml:space="preserve"> often </w:t>
            </w:r>
            <w:r>
              <w:rPr>
                <w:rFonts w:ascii="Calibri" w:hAnsi="Calibri" w:cs="Arial"/>
                <w:sz w:val="19"/>
                <w:szCs w:val="19"/>
              </w:rPr>
              <w:t>(CFUs)</w:t>
            </w:r>
            <w:r w:rsidRPr="00DE1119">
              <w:rPr>
                <w:rFonts w:ascii="Calibri" w:hAnsi="Calibri" w:cs="Arial"/>
                <w:sz w:val="19"/>
                <w:szCs w:val="19"/>
              </w:rPr>
              <w:t>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3.3, 4.4, 5.6</w:t>
            </w:r>
          </w:p>
        </w:tc>
        <w:tc>
          <w:tcPr>
            <w:tcW w:w="205" w:type="pct"/>
            <w:vAlign w:val="center"/>
          </w:tcPr>
          <w:p w14:paraId="5800A4A9" w14:textId="45BFC5BB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2BB9DEE9" w14:textId="52006E2C" w:rsidR="004B18C3" w:rsidRPr="008B51C4" w:rsidRDefault="006D6910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14A95043" w14:textId="758F795B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3E78D5FC" w14:textId="2BA06039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2DFB0146" w14:textId="596F68D1" w:rsidR="00EF0E56" w:rsidRPr="00EF0E56" w:rsidRDefault="00EF0E56" w:rsidP="00EF0E56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B18C3" w:rsidRPr="00DE1119" w14:paraId="61E364D4" w14:textId="116CB519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2A8B890E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ET.20</w:t>
            </w:r>
          </w:p>
        </w:tc>
        <w:tc>
          <w:tcPr>
            <w:tcW w:w="1682" w:type="pct"/>
            <w:tcBorders>
              <w:left w:val="nil"/>
            </w:tcBorders>
          </w:tcPr>
          <w:p w14:paraId="4615AEC9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 xml:space="preserve">Uses a variety of appropriate visual supports to access the content.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3.2, 3.3, 4.4, 5.6</w:t>
            </w:r>
          </w:p>
        </w:tc>
        <w:tc>
          <w:tcPr>
            <w:tcW w:w="205" w:type="pct"/>
            <w:vAlign w:val="center"/>
          </w:tcPr>
          <w:p w14:paraId="48DF208C" w14:textId="32163EF5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32F0784C" w14:textId="0D9880C3" w:rsidR="004B18C3" w:rsidRPr="008B51C4" w:rsidRDefault="00AD3619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4E43C27E" w14:textId="2693B4AC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18892F2C" w14:textId="21AA8A98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126C2B52" w14:textId="22150141" w:rsidR="00DD71F4" w:rsidRDefault="00DD71F4" w:rsidP="000B7D6F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297FC07E" w14:textId="5AC694D8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6B9FFB8B" w14:textId="6C245103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ET.21</w:t>
            </w:r>
          </w:p>
        </w:tc>
        <w:tc>
          <w:tcPr>
            <w:tcW w:w="1682" w:type="pct"/>
            <w:tcBorders>
              <w:left w:val="nil"/>
            </w:tcBorders>
          </w:tcPr>
          <w:p w14:paraId="7381FE3A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Uses effective closings for lessons and activities.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 3.2, 3.3, 5.5, 5.6</w:t>
            </w:r>
          </w:p>
        </w:tc>
        <w:tc>
          <w:tcPr>
            <w:tcW w:w="205" w:type="pct"/>
            <w:vAlign w:val="center"/>
          </w:tcPr>
          <w:p w14:paraId="5D02E54A" w14:textId="222FB903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53232937" w14:textId="516095CE" w:rsidR="004B18C3" w:rsidRPr="008B51C4" w:rsidRDefault="00874C99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06F0FAF3" w14:textId="015FED76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65D7F931" w14:textId="07949BF7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0F491B2E" w14:textId="1ADDE099" w:rsidR="00A30CA7" w:rsidRPr="00A30CA7" w:rsidRDefault="00A30CA7" w:rsidP="000B7D6F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63F57F54" w14:textId="02A47F18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250866A2" w14:textId="44F11E62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ET.22</w:t>
            </w:r>
          </w:p>
        </w:tc>
        <w:tc>
          <w:tcPr>
            <w:tcW w:w="1682" w:type="pct"/>
            <w:tcBorders>
              <w:left w:val="nil"/>
            </w:tcBorders>
          </w:tcPr>
          <w:p w14:paraId="4E562BEB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Uses strategies to support language and vocabulary development</w:t>
            </w:r>
            <w:r>
              <w:rPr>
                <w:rFonts w:ascii="Calibri" w:hAnsi="Calibri" w:cs="Arial"/>
                <w:sz w:val="19"/>
                <w:szCs w:val="19"/>
              </w:rPr>
              <w:t xml:space="preserve">.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2.1, 3.1, 5.4</w:t>
            </w:r>
          </w:p>
        </w:tc>
        <w:tc>
          <w:tcPr>
            <w:tcW w:w="205" w:type="pct"/>
            <w:vAlign w:val="center"/>
          </w:tcPr>
          <w:p w14:paraId="5ADFB2C2" w14:textId="1BD97B43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52D994E4" w14:textId="712BE432" w:rsidR="004B18C3" w:rsidRPr="008B51C4" w:rsidRDefault="00FD307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0031D58F" w14:textId="15A4939C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12DA838D" w14:textId="4004DD24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7BAC64DA" w14:textId="4CFE1A15" w:rsidR="00863109" w:rsidRPr="006F1EF7" w:rsidRDefault="00863109" w:rsidP="000B7D6F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22BDB84A" w14:textId="1FA5F4B0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5C22B02F" w14:textId="680DFE51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ET.2</w:t>
            </w:r>
            <w:r>
              <w:rPr>
                <w:rFonts w:ascii="Calibri" w:hAnsi="Calibri" w:cs="Arial"/>
                <w:sz w:val="19"/>
                <w:szCs w:val="19"/>
              </w:rPr>
              <w:t>3</w:t>
            </w:r>
          </w:p>
        </w:tc>
        <w:tc>
          <w:tcPr>
            <w:tcW w:w="1682" w:type="pct"/>
            <w:tcBorders>
              <w:left w:val="nil"/>
            </w:tcBorders>
          </w:tcPr>
          <w:p w14:paraId="39CDD1FE" w14:textId="77777777" w:rsidR="004B18C3" w:rsidRPr="00DE1119" w:rsidDel="00C55B74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 xml:space="preserve">Creates </w:t>
            </w:r>
            <w:r>
              <w:rPr>
                <w:rFonts w:ascii="Calibri" w:hAnsi="Calibri" w:cs="Arial"/>
                <w:sz w:val="19"/>
                <w:szCs w:val="19"/>
              </w:rPr>
              <w:t>a</w:t>
            </w:r>
            <w:r w:rsidRPr="00DE1119">
              <w:rPr>
                <w:rFonts w:ascii="Calibri" w:hAnsi="Calibri" w:cs="Arial"/>
                <w:sz w:val="19"/>
                <w:szCs w:val="19"/>
              </w:rPr>
              <w:t xml:space="preserve"> welcoming environment w</w:t>
            </w:r>
            <w:r>
              <w:rPr>
                <w:rFonts w:ascii="Calibri" w:hAnsi="Calibri" w:cs="Arial"/>
                <w:sz w:val="19"/>
                <w:szCs w:val="19"/>
              </w:rPr>
              <w:t xml:space="preserve">here all students are respected, </w:t>
            </w:r>
            <w:r w:rsidRPr="00DE1119">
              <w:rPr>
                <w:rFonts w:ascii="Calibri" w:hAnsi="Calibri" w:cs="Arial"/>
                <w:sz w:val="19"/>
                <w:szCs w:val="19"/>
              </w:rPr>
              <w:t>included.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 1.2, 5.1, 7.3</w:t>
            </w:r>
          </w:p>
        </w:tc>
        <w:tc>
          <w:tcPr>
            <w:tcW w:w="205" w:type="pct"/>
            <w:vAlign w:val="center"/>
          </w:tcPr>
          <w:p w14:paraId="27FDCBBA" w14:textId="65EFE2A7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4E7D58DD" w14:textId="1C23E23D" w:rsidR="004B18C3" w:rsidRPr="008B51C4" w:rsidRDefault="00226814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39C6FC43" w14:textId="0C3D8DBD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21C87859" w14:textId="59C55AD2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3CA8C74C" w14:textId="4B3B82ED" w:rsidR="00C26FA3" w:rsidRPr="00C26FA3" w:rsidRDefault="00C26FA3" w:rsidP="000B7D6F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3D4BF951" w14:textId="31F293C4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6353AD12" w14:textId="28344BA5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ET.24</w:t>
            </w:r>
          </w:p>
        </w:tc>
        <w:tc>
          <w:tcPr>
            <w:tcW w:w="1682" w:type="pct"/>
            <w:tcBorders>
              <w:left w:val="nil"/>
            </w:tcBorders>
          </w:tcPr>
          <w:p w14:paraId="1C23829A" w14:textId="77777777" w:rsidR="004B18C3" w:rsidRPr="00DE1119" w:rsidDel="00C55B74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1B5A78">
              <w:rPr>
                <w:rFonts w:ascii="Calibri" w:hAnsi="Calibri" w:cs="Arial"/>
                <w:sz w:val="19"/>
                <w:szCs w:val="19"/>
              </w:rPr>
              <w:t>Designs and implements positive, proactive group management.</w:t>
            </w:r>
            <w:r w:rsidRPr="001B5A78">
              <w:rPr>
                <w:rFonts w:ascii="Calibri" w:hAnsi="Calibri" w:cs="Arial"/>
                <w:i/>
                <w:sz w:val="19"/>
                <w:szCs w:val="19"/>
              </w:rPr>
              <w:t xml:space="preserve"> Standard 2.2, 2.3</w:t>
            </w:r>
          </w:p>
        </w:tc>
        <w:tc>
          <w:tcPr>
            <w:tcW w:w="205" w:type="pct"/>
            <w:vAlign w:val="center"/>
          </w:tcPr>
          <w:p w14:paraId="1956197A" w14:textId="3ED71DCC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171C1465" w14:textId="59BD86C8" w:rsidR="004B18C3" w:rsidRPr="008B51C4" w:rsidRDefault="009736BE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2B472D93" w14:textId="270E2859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64AC33CC" w14:textId="3C6E4FB1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421B81EC" w14:textId="451A9C22" w:rsidR="00B232BE" w:rsidRPr="00B232BE" w:rsidRDefault="00B232BE" w:rsidP="000B7D6F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21D882CE" w14:textId="34540BA8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26A87AF5" w14:textId="65459A4C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ET.25</w:t>
            </w:r>
          </w:p>
        </w:tc>
        <w:tc>
          <w:tcPr>
            <w:tcW w:w="1682" w:type="pct"/>
            <w:tcBorders>
              <w:left w:val="nil"/>
            </w:tcBorders>
          </w:tcPr>
          <w:p w14:paraId="2881DD60" w14:textId="77777777" w:rsidR="004B18C3" w:rsidRPr="00DE1119" w:rsidDel="00C55B74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Designs and implements effective management of individual student behavior.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Standards 1.2, 2.2, 2.3</w:t>
            </w:r>
          </w:p>
        </w:tc>
        <w:tc>
          <w:tcPr>
            <w:tcW w:w="205" w:type="pct"/>
            <w:vAlign w:val="center"/>
          </w:tcPr>
          <w:p w14:paraId="19167396" w14:textId="0B020561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0D5CEE74" w14:textId="5B318568" w:rsidR="004B18C3" w:rsidRPr="008B51C4" w:rsidRDefault="009736BE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41348B04" w14:textId="15D7C305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17C5FF1C" w14:textId="3B29ECF6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17500C77" w14:textId="28E49C9E" w:rsidR="009E18D9" w:rsidRDefault="009E18D9" w:rsidP="000B7D6F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7D17ED04" w14:textId="74FB024D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0A1EE411" w14:textId="5E360A0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ET.26</w:t>
            </w:r>
          </w:p>
        </w:tc>
        <w:tc>
          <w:tcPr>
            <w:tcW w:w="1682" w:type="pct"/>
            <w:tcBorders>
              <w:left w:val="nil"/>
            </w:tcBorders>
          </w:tcPr>
          <w:p w14:paraId="5E2021BD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Collects data on both students’ academic/social/functional skills.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33724D">
              <w:rPr>
                <w:rFonts w:ascii="Calibri" w:hAnsi="Calibri" w:cs="Arial"/>
                <w:i/>
                <w:sz w:val="19"/>
                <w:szCs w:val="19"/>
              </w:rPr>
              <w:t xml:space="preserve">Standards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4.2, </w:t>
            </w:r>
            <w:r w:rsidRPr="0033724D">
              <w:rPr>
                <w:rFonts w:ascii="Calibri" w:hAnsi="Calibri" w:cs="Arial"/>
                <w:i/>
                <w:sz w:val="19"/>
                <w:szCs w:val="19"/>
              </w:rPr>
              <w:t>4.3</w:t>
            </w:r>
          </w:p>
        </w:tc>
        <w:tc>
          <w:tcPr>
            <w:tcW w:w="205" w:type="pct"/>
            <w:vAlign w:val="center"/>
          </w:tcPr>
          <w:p w14:paraId="11BB2708" w14:textId="17034FAB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53D50970" w14:textId="06C3460A" w:rsidR="004B18C3" w:rsidRPr="008B51C4" w:rsidRDefault="00E9008E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2ED7FBFC" w14:textId="76382E57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2EEAB469" w14:textId="342478B9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5C943257" w14:textId="65593230" w:rsidR="00FD5433" w:rsidRDefault="00FD5433" w:rsidP="00733D2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6BDADA49" w14:textId="3C5C22E0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19ECC098" w14:textId="0412586C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ET.27</w:t>
            </w:r>
          </w:p>
        </w:tc>
        <w:tc>
          <w:tcPr>
            <w:tcW w:w="1682" w:type="pct"/>
            <w:tcBorders>
              <w:left w:val="nil"/>
            </w:tcBorders>
          </w:tcPr>
          <w:p w14:paraId="2AA550BA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Makes decisions in instruction and management based on student data.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Standards 4.1, 4.2</w:t>
            </w:r>
          </w:p>
        </w:tc>
        <w:tc>
          <w:tcPr>
            <w:tcW w:w="205" w:type="pct"/>
            <w:vAlign w:val="center"/>
          </w:tcPr>
          <w:p w14:paraId="2316AA51" w14:textId="26A33FA5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3790A87D" w14:textId="5D5FB7D7" w:rsidR="004B18C3" w:rsidRPr="008B51C4" w:rsidRDefault="00694DE0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439C8CB1" w14:textId="45331FA9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67CE2E80" w14:textId="22EEFB80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35B2BB1A" w14:textId="29E73EA5" w:rsidR="00E90984" w:rsidRDefault="00E90984" w:rsidP="000B7D6F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745BDAC3" w14:textId="24C0921D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45F5110A" w14:textId="0B4A2CCF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ET.28</w:t>
            </w:r>
          </w:p>
        </w:tc>
        <w:tc>
          <w:tcPr>
            <w:tcW w:w="1682" w:type="pct"/>
            <w:tcBorders>
              <w:left w:val="nil"/>
            </w:tcBorders>
          </w:tcPr>
          <w:p w14:paraId="659B8379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Adapts and modifies individualized assessment strategies for students with diverse skill levels, and for those from diverse cultural and linguistic backgrounds.</w:t>
            </w:r>
            <w:r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Standards 1.2, 4.1, 4.3, 5.1</w:t>
            </w:r>
          </w:p>
        </w:tc>
        <w:tc>
          <w:tcPr>
            <w:tcW w:w="205" w:type="pct"/>
            <w:vAlign w:val="center"/>
          </w:tcPr>
          <w:p w14:paraId="1A0FA6CE" w14:textId="3B21F315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657EEB40" w14:textId="6A921BBE" w:rsidR="004B18C3" w:rsidRPr="008B51C4" w:rsidRDefault="00BC5090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5113DBDA" w14:textId="4A3EA51F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01E61FBA" w14:textId="51EB4839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0AB228D2" w14:textId="275B064D" w:rsidR="006D1FC3" w:rsidRPr="006D1FC3" w:rsidRDefault="006D1FC3" w:rsidP="00733D2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6E886912" w14:textId="6FD4C24C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02E473E4" w14:textId="6AB78F10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ET.29</w:t>
            </w:r>
          </w:p>
        </w:tc>
        <w:tc>
          <w:tcPr>
            <w:tcW w:w="1682" w:type="pct"/>
            <w:tcBorders>
              <w:left w:val="nil"/>
            </w:tcBorders>
          </w:tcPr>
          <w:p w14:paraId="113E9E6A" w14:textId="77777777" w:rsidR="004B18C3" w:rsidRPr="000B4150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0B4150">
              <w:rPr>
                <w:rFonts w:ascii="Calibri" w:hAnsi="Calibri" w:cs="Arial"/>
                <w:sz w:val="19"/>
                <w:szCs w:val="19"/>
              </w:rPr>
              <w:t>Uses assessment data to modify instruction.</w:t>
            </w:r>
            <w:r w:rsidRPr="000B4150">
              <w:rPr>
                <w:rFonts w:ascii="Calibri" w:hAnsi="Calibri" w:cs="Arial"/>
                <w:i/>
                <w:sz w:val="19"/>
                <w:szCs w:val="19"/>
              </w:rPr>
              <w:t xml:space="preserve"> Standards 3.3</w:t>
            </w:r>
            <w:proofErr w:type="gramStart"/>
            <w:r w:rsidRPr="000B4150">
              <w:rPr>
                <w:rFonts w:ascii="Calibri" w:hAnsi="Calibri" w:cs="Arial"/>
                <w:i/>
                <w:sz w:val="19"/>
                <w:szCs w:val="19"/>
              </w:rPr>
              <w:t>,  4.2</w:t>
            </w:r>
            <w:proofErr w:type="gramEnd"/>
            <w:r w:rsidRPr="000B4150">
              <w:rPr>
                <w:rFonts w:ascii="Calibri" w:hAnsi="Calibri" w:cs="Arial"/>
                <w:i/>
                <w:sz w:val="19"/>
                <w:szCs w:val="19"/>
              </w:rPr>
              <w:t xml:space="preserve">, 4.3 </w:t>
            </w:r>
          </w:p>
        </w:tc>
        <w:tc>
          <w:tcPr>
            <w:tcW w:w="205" w:type="pct"/>
            <w:vAlign w:val="center"/>
          </w:tcPr>
          <w:p w14:paraId="2A4FFEE9" w14:textId="64DA704A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59F2F62D" w14:textId="5B6F7C58" w:rsidR="004B18C3" w:rsidRPr="008B51C4" w:rsidRDefault="00B9448B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58DB0BC4" w14:textId="5D855206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665F3BDD" w14:textId="485E1CD7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502EDEC9" w14:textId="6A0D80F3" w:rsidR="004B18C3" w:rsidRPr="006D1FC3" w:rsidRDefault="004B18C3" w:rsidP="000B7D6F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470F416E" w14:textId="3125A48E" w:rsidTr="00602AAC">
        <w:tc>
          <w:tcPr>
            <w:tcW w:w="326" w:type="pct"/>
            <w:tcBorders>
              <w:left w:val="double" w:sz="2" w:space="0" w:color="auto"/>
              <w:right w:val="nil"/>
            </w:tcBorders>
          </w:tcPr>
          <w:p w14:paraId="0233C4F0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ET.30</w:t>
            </w:r>
          </w:p>
        </w:tc>
        <w:tc>
          <w:tcPr>
            <w:tcW w:w="1682" w:type="pct"/>
            <w:tcBorders>
              <w:left w:val="nil"/>
            </w:tcBorders>
          </w:tcPr>
          <w:p w14:paraId="1716E629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>Records and reports assessment and evaluation information.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Standards 4.2, 4.3</w:t>
            </w:r>
          </w:p>
        </w:tc>
        <w:tc>
          <w:tcPr>
            <w:tcW w:w="205" w:type="pct"/>
            <w:vAlign w:val="center"/>
          </w:tcPr>
          <w:p w14:paraId="6488647F" w14:textId="2B12A7B1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vAlign w:val="center"/>
          </w:tcPr>
          <w:p w14:paraId="5F84566B" w14:textId="53CC33A7" w:rsidR="004B18C3" w:rsidRPr="008B51C4" w:rsidRDefault="007441D2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vAlign w:val="center"/>
          </w:tcPr>
          <w:p w14:paraId="72F4317E" w14:textId="6DA9B628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right w:val="double" w:sz="2" w:space="0" w:color="auto"/>
            </w:tcBorders>
            <w:vAlign w:val="center"/>
          </w:tcPr>
          <w:p w14:paraId="1D1B9AD3" w14:textId="1C8677AC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right w:val="double" w:sz="2" w:space="0" w:color="auto"/>
            </w:tcBorders>
          </w:tcPr>
          <w:p w14:paraId="0C26A5C5" w14:textId="2318E756" w:rsidR="004B18C3" w:rsidRDefault="004B18C3" w:rsidP="00085893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  <w:tr w:rsidR="004B18C3" w:rsidRPr="00DE1119" w14:paraId="2F82A1E2" w14:textId="41B2234C" w:rsidTr="00602AAC">
        <w:trPr>
          <w:trHeight w:val="546"/>
        </w:trPr>
        <w:tc>
          <w:tcPr>
            <w:tcW w:w="326" w:type="pct"/>
            <w:tcBorders>
              <w:left w:val="double" w:sz="2" w:space="0" w:color="auto"/>
              <w:bottom w:val="single" w:sz="4" w:space="0" w:color="auto"/>
              <w:right w:val="nil"/>
            </w:tcBorders>
          </w:tcPr>
          <w:p w14:paraId="2F4DFC51" w14:textId="77777777" w:rsidR="004B18C3" w:rsidRPr="00DE1119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ET.31</w:t>
            </w:r>
          </w:p>
        </w:tc>
        <w:tc>
          <w:tcPr>
            <w:tcW w:w="1682" w:type="pct"/>
            <w:tcBorders>
              <w:left w:val="nil"/>
              <w:bottom w:val="single" w:sz="4" w:space="0" w:color="auto"/>
            </w:tcBorders>
          </w:tcPr>
          <w:p w14:paraId="11D0917A" w14:textId="77777777" w:rsidR="00D825AE" w:rsidRDefault="004B18C3" w:rsidP="00B232BE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r w:rsidRPr="00DE1119">
              <w:rPr>
                <w:rFonts w:ascii="Calibri" w:hAnsi="Calibri" w:cs="Arial"/>
                <w:sz w:val="19"/>
                <w:szCs w:val="19"/>
              </w:rPr>
              <w:t xml:space="preserve">Collects and interprets assessment information for </w:t>
            </w:r>
            <w:r>
              <w:rPr>
                <w:rFonts w:ascii="Calibri" w:hAnsi="Calibri" w:cs="Arial"/>
                <w:sz w:val="19"/>
                <w:szCs w:val="19"/>
              </w:rPr>
              <w:t>IEP and writes a draft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</w:t>
            </w:r>
          </w:p>
          <w:p w14:paraId="5DD583B8" w14:textId="103F0526" w:rsidR="004B18C3" w:rsidRPr="00430FCE" w:rsidRDefault="00D825AE" w:rsidP="00B232BE">
            <w:pPr>
              <w:tabs>
                <w:tab w:val="left" w:pos="349"/>
              </w:tabs>
              <w:rPr>
                <w:rFonts w:ascii="Calibri" w:hAnsi="Calibri" w:cs="Arial"/>
                <w:i/>
                <w:sz w:val="19"/>
                <w:szCs w:val="19"/>
              </w:rPr>
            </w:pPr>
            <w:proofErr w:type="spellStart"/>
            <w:r>
              <w:rPr>
                <w:rFonts w:ascii="Calibri" w:hAnsi="Calibri" w:cs="Arial"/>
                <w:i/>
                <w:sz w:val="19"/>
                <w:szCs w:val="19"/>
              </w:rPr>
              <w:t>Standard</w:t>
            </w:r>
            <w:r w:rsidR="004B18C3">
              <w:rPr>
                <w:rFonts w:ascii="Calibri" w:hAnsi="Calibri" w:cs="Arial"/>
                <w:i/>
                <w:sz w:val="19"/>
                <w:szCs w:val="19"/>
              </w:rPr>
              <w:t>S</w:t>
            </w:r>
            <w:proofErr w:type="spellEnd"/>
            <w:r w:rsidR="004B18C3">
              <w:rPr>
                <w:rFonts w:ascii="Calibri" w:hAnsi="Calibri" w:cs="Arial"/>
                <w:i/>
                <w:sz w:val="19"/>
                <w:szCs w:val="19"/>
              </w:rPr>
              <w:t xml:space="preserve"> 4.3, 4.2, 4.4, 5.2, 5.5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14:paraId="632B10F1" w14:textId="715D8834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14:paraId="0635EB5C" w14:textId="6FDD2BFB" w:rsidR="004B18C3" w:rsidRPr="008B51C4" w:rsidRDefault="00661215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cs="Arial"/>
                <w:sz w:val="19"/>
                <w:szCs w:val="19"/>
                <w:lang w:val="en-US" w:eastAsia="en-US"/>
              </w:rPr>
              <w:t>x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14:paraId="5D92DAEC" w14:textId="600A4F5E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05" w:type="pct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65E579E8" w14:textId="736AB763" w:rsidR="004B18C3" w:rsidRPr="008B51C4" w:rsidRDefault="004B18C3" w:rsidP="00B232BE">
            <w:pPr>
              <w:pStyle w:val="Header"/>
              <w:jc w:val="cent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  <w:tc>
          <w:tcPr>
            <w:tcW w:w="2173" w:type="pct"/>
            <w:tcBorders>
              <w:bottom w:val="single" w:sz="4" w:space="0" w:color="auto"/>
              <w:right w:val="double" w:sz="2" w:space="0" w:color="auto"/>
            </w:tcBorders>
          </w:tcPr>
          <w:p w14:paraId="6A01054E" w14:textId="401DEDDA" w:rsidR="005543BB" w:rsidRDefault="005543BB" w:rsidP="000B7D6F">
            <w:pPr>
              <w:pStyle w:val="Header"/>
              <w:rPr>
                <w:rFonts w:ascii="Calibri" w:hAnsi="Calibri" w:cs="Arial"/>
                <w:sz w:val="19"/>
                <w:szCs w:val="19"/>
                <w:lang w:val="en-US" w:eastAsia="en-US"/>
              </w:rPr>
            </w:pPr>
          </w:p>
        </w:tc>
      </w:tr>
    </w:tbl>
    <w:p w14:paraId="0385E25A" w14:textId="77777777" w:rsidR="00300F48" w:rsidRDefault="00300F48"/>
    <w:sectPr w:rsidR="00300F48" w:rsidSect="0088409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9A61" w14:textId="77777777" w:rsidR="00410E2D" w:rsidRDefault="00410E2D" w:rsidP="0088409A">
      <w:r>
        <w:separator/>
      </w:r>
    </w:p>
  </w:endnote>
  <w:endnote w:type="continuationSeparator" w:id="0">
    <w:p w14:paraId="64006746" w14:textId="77777777" w:rsidR="00410E2D" w:rsidRDefault="00410E2D" w:rsidP="0088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730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ED50E" w14:textId="11808A4C" w:rsidR="00085893" w:rsidRDefault="00085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F6F7B9" w14:textId="77777777" w:rsidR="00085893" w:rsidRDefault="00085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AB7A" w14:textId="77777777" w:rsidR="00410E2D" w:rsidRDefault="00410E2D" w:rsidP="0088409A">
      <w:r>
        <w:separator/>
      </w:r>
    </w:p>
  </w:footnote>
  <w:footnote w:type="continuationSeparator" w:id="0">
    <w:p w14:paraId="6086C75A" w14:textId="77777777" w:rsidR="00410E2D" w:rsidRDefault="00410E2D" w:rsidP="0088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0AFD" w14:textId="7C250EE5" w:rsidR="00B232BE" w:rsidRPr="0088409A" w:rsidRDefault="002F75ED" w:rsidP="00F50E93">
    <w:pPr>
      <w:pStyle w:val="Header"/>
      <w:jc w:val="center"/>
      <w:rPr>
        <w:lang w:val="en-US"/>
      </w:rPr>
    </w:pPr>
    <w:r>
      <w:rPr>
        <w:b/>
        <w:lang w:val="en-US"/>
      </w:rPr>
      <w:t>N</w:t>
    </w:r>
    <w:r w:rsidR="00085893" w:rsidRPr="00085893">
      <w:rPr>
        <w:b/>
        <w:lang w:val="en-US"/>
      </w:rPr>
      <w:t>ame</w:t>
    </w:r>
    <w:r w:rsidR="00085893">
      <w:rPr>
        <w:lang w:val="en-US"/>
      </w:rPr>
      <w:t>:</w:t>
    </w:r>
    <w:r w:rsidR="006C48FD">
      <w:rPr>
        <w:lang w:val="en-US"/>
      </w:rPr>
      <w:tab/>
    </w:r>
    <w:r w:rsidR="00085893">
      <w:rPr>
        <w:lang w:val="en-US"/>
      </w:rPr>
      <w:tab/>
    </w:r>
    <w:r>
      <w:rPr>
        <w:lang w:val="en-US"/>
      </w:rPr>
      <w:t xml:space="preserve">Evidence Grid for the </w:t>
    </w:r>
    <w:r w:rsidR="008F38F1">
      <w:rPr>
        <w:lang w:val="en-US"/>
      </w:rPr>
      <w:t xml:space="preserve">SPED 498 </w:t>
    </w:r>
    <w:r w:rsidR="00085893">
      <w:rPr>
        <w:lang w:val="en-US"/>
      </w:rPr>
      <w:t>Final Evaluation</w:t>
    </w:r>
    <w:r w:rsidR="00085893">
      <w:rPr>
        <w:lang w:val="en-US"/>
      </w:rP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5B"/>
    <w:multiLevelType w:val="hybridMultilevel"/>
    <w:tmpl w:val="C1D8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5BB"/>
    <w:multiLevelType w:val="hybridMultilevel"/>
    <w:tmpl w:val="01D0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A54"/>
    <w:multiLevelType w:val="hybridMultilevel"/>
    <w:tmpl w:val="AF0602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91E5E"/>
    <w:multiLevelType w:val="hybridMultilevel"/>
    <w:tmpl w:val="7AFA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2791"/>
    <w:multiLevelType w:val="hybridMultilevel"/>
    <w:tmpl w:val="1BF4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2767C"/>
    <w:multiLevelType w:val="hybridMultilevel"/>
    <w:tmpl w:val="8236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4D5"/>
    <w:multiLevelType w:val="hybridMultilevel"/>
    <w:tmpl w:val="A17A3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6602B"/>
    <w:multiLevelType w:val="hybridMultilevel"/>
    <w:tmpl w:val="2D4E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5EF0"/>
    <w:multiLevelType w:val="hybridMultilevel"/>
    <w:tmpl w:val="DB8C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527B"/>
    <w:multiLevelType w:val="hybridMultilevel"/>
    <w:tmpl w:val="F0A8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19E0"/>
    <w:multiLevelType w:val="hybridMultilevel"/>
    <w:tmpl w:val="B14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D5D96"/>
    <w:multiLevelType w:val="hybridMultilevel"/>
    <w:tmpl w:val="FB00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34C3"/>
    <w:multiLevelType w:val="hybridMultilevel"/>
    <w:tmpl w:val="983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52C4"/>
    <w:multiLevelType w:val="hybridMultilevel"/>
    <w:tmpl w:val="DE42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C8E"/>
    <w:multiLevelType w:val="hybridMultilevel"/>
    <w:tmpl w:val="9C866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205C"/>
    <w:multiLevelType w:val="hybridMultilevel"/>
    <w:tmpl w:val="213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A76F0"/>
    <w:multiLevelType w:val="hybridMultilevel"/>
    <w:tmpl w:val="540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3C94"/>
    <w:multiLevelType w:val="hybridMultilevel"/>
    <w:tmpl w:val="5BC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B1871"/>
    <w:multiLevelType w:val="hybridMultilevel"/>
    <w:tmpl w:val="9A34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76D99"/>
    <w:multiLevelType w:val="hybridMultilevel"/>
    <w:tmpl w:val="CD7C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A1299"/>
    <w:multiLevelType w:val="hybridMultilevel"/>
    <w:tmpl w:val="A5A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43314"/>
    <w:multiLevelType w:val="hybridMultilevel"/>
    <w:tmpl w:val="65EC8DD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554C8C"/>
    <w:multiLevelType w:val="hybridMultilevel"/>
    <w:tmpl w:val="9DE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85229"/>
    <w:multiLevelType w:val="hybridMultilevel"/>
    <w:tmpl w:val="9196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C7F0B"/>
    <w:multiLevelType w:val="hybridMultilevel"/>
    <w:tmpl w:val="0A9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A0907"/>
    <w:multiLevelType w:val="hybridMultilevel"/>
    <w:tmpl w:val="E7B6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64391"/>
    <w:multiLevelType w:val="hybridMultilevel"/>
    <w:tmpl w:val="320C53A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30C4970"/>
    <w:multiLevelType w:val="hybridMultilevel"/>
    <w:tmpl w:val="7C684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9F1DD9"/>
    <w:multiLevelType w:val="hybridMultilevel"/>
    <w:tmpl w:val="0814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B394F"/>
    <w:multiLevelType w:val="hybridMultilevel"/>
    <w:tmpl w:val="AE94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91157"/>
    <w:multiLevelType w:val="hybridMultilevel"/>
    <w:tmpl w:val="EED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9054D"/>
    <w:multiLevelType w:val="hybridMultilevel"/>
    <w:tmpl w:val="F8662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DC370E"/>
    <w:multiLevelType w:val="hybridMultilevel"/>
    <w:tmpl w:val="83D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C5888"/>
    <w:multiLevelType w:val="hybridMultilevel"/>
    <w:tmpl w:val="3862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F15AA"/>
    <w:multiLevelType w:val="hybridMultilevel"/>
    <w:tmpl w:val="A9BE7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3E6143"/>
    <w:multiLevelType w:val="hybridMultilevel"/>
    <w:tmpl w:val="17C4FE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184D8A"/>
    <w:multiLevelType w:val="hybridMultilevel"/>
    <w:tmpl w:val="BE4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37A4F"/>
    <w:multiLevelType w:val="hybridMultilevel"/>
    <w:tmpl w:val="D91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215DA"/>
    <w:multiLevelType w:val="hybridMultilevel"/>
    <w:tmpl w:val="C400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04AF3"/>
    <w:multiLevelType w:val="hybridMultilevel"/>
    <w:tmpl w:val="2EDE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C49EC"/>
    <w:multiLevelType w:val="hybridMultilevel"/>
    <w:tmpl w:val="5830A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02ADC"/>
    <w:multiLevelType w:val="hybridMultilevel"/>
    <w:tmpl w:val="CB342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D4ED5"/>
    <w:multiLevelType w:val="hybridMultilevel"/>
    <w:tmpl w:val="CB2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2A18"/>
    <w:multiLevelType w:val="hybridMultilevel"/>
    <w:tmpl w:val="2AE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97324"/>
    <w:multiLevelType w:val="hybridMultilevel"/>
    <w:tmpl w:val="0AE0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014AB"/>
    <w:multiLevelType w:val="hybridMultilevel"/>
    <w:tmpl w:val="529A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24C76"/>
    <w:multiLevelType w:val="hybridMultilevel"/>
    <w:tmpl w:val="2E605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42089"/>
    <w:multiLevelType w:val="hybridMultilevel"/>
    <w:tmpl w:val="A1C0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23"/>
  </w:num>
  <w:num w:numId="5">
    <w:abstractNumId w:val="35"/>
  </w:num>
  <w:num w:numId="6">
    <w:abstractNumId w:val="41"/>
  </w:num>
  <w:num w:numId="7">
    <w:abstractNumId w:val="18"/>
  </w:num>
  <w:num w:numId="8">
    <w:abstractNumId w:val="45"/>
  </w:num>
  <w:num w:numId="9">
    <w:abstractNumId w:val="47"/>
  </w:num>
  <w:num w:numId="10">
    <w:abstractNumId w:val="7"/>
  </w:num>
  <w:num w:numId="11">
    <w:abstractNumId w:val="25"/>
  </w:num>
  <w:num w:numId="12">
    <w:abstractNumId w:val="11"/>
  </w:num>
  <w:num w:numId="13">
    <w:abstractNumId w:val="3"/>
  </w:num>
  <w:num w:numId="14">
    <w:abstractNumId w:val="30"/>
  </w:num>
  <w:num w:numId="15">
    <w:abstractNumId w:val="19"/>
  </w:num>
  <w:num w:numId="16">
    <w:abstractNumId w:val="16"/>
  </w:num>
  <w:num w:numId="17">
    <w:abstractNumId w:val="17"/>
  </w:num>
  <w:num w:numId="18">
    <w:abstractNumId w:val="42"/>
  </w:num>
  <w:num w:numId="19">
    <w:abstractNumId w:val="31"/>
  </w:num>
  <w:num w:numId="20">
    <w:abstractNumId w:val="40"/>
  </w:num>
  <w:num w:numId="21">
    <w:abstractNumId w:val="22"/>
  </w:num>
  <w:num w:numId="22">
    <w:abstractNumId w:val="36"/>
  </w:num>
  <w:num w:numId="23">
    <w:abstractNumId w:val="37"/>
  </w:num>
  <w:num w:numId="24">
    <w:abstractNumId w:val="44"/>
  </w:num>
  <w:num w:numId="25">
    <w:abstractNumId w:val="10"/>
  </w:num>
  <w:num w:numId="26">
    <w:abstractNumId w:val="1"/>
  </w:num>
  <w:num w:numId="27">
    <w:abstractNumId w:val="15"/>
  </w:num>
  <w:num w:numId="28">
    <w:abstractNumId w:val="8"/>
  </w:num>
  <w:num w:numId="29">
    <w:abstractNumId w:val="29"/>
  </w:num>
  <w:num w:numId="30">
    <w:abstractNumId w:val="5"/>
  </w:num>
  <w:num w:numId="31">
    <w:abstractNumId w:val="39"/>
  </w:num>
  <w:num w:numId="32">
    <w:abstractNumId w:val="28"/>
  </w:num>
  <w:num w:numId="33">
    <w:abstractNumId w:val="32"/>
  </w:num>
  <w:num w:numId="34">
    <w:abstractNumId w:val="38"/>
  </w:num>
  <w:num w:numId="35">
    <w:abstractNumId w:val="34"/>
  </w:num>
  <w:num w:numId="36">
    <w:abstractNumId w:val="2"/>
  </w:num>
  <w:num w:numId="37">
    <w:abstractNumId w:val="6"/>
  </w:num>
  <w:num w:numId="38">
    <w:abstractNumId w:val="43"/>
  </w:num>
  <w:num w:numId="39">
    <w:abstractNumId w:val="24"/>
  </w:num>
  <w:num w:numId="40">
    <w:abstractNumId w:val="21"/>
  </w:num>
  <w:num w:numId="41">
    <w:abstractNumId w:val="14"/>
  </w:num>
  <w:num w:numId="42">
    <w:abstractNumId w:val="27"/>
  </w:num>
  <w:num w:numId="43">
    <w:abstractNumId w:val="13"/>
  </w:num>
  <w:num w:numId="44">
    <w:abstractNumId w:val="4"/>
  </w:num>
  <w:num w:numId="45">
    <w:abstractNumId w:val="20"/>
  </w:num>
  <w:num w:numId="46">
    <w:abstractNumId w:val="46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9A"/>
    <w:rsid w:val="00015CC6"/>
    <w:rsid w:val="000306CD"/>
    <w:rsid w:val="00055E9B"/>
    <w:rsid w:val="0005619F"/>
    <w:rsid w:val="00057229"/>
    <w:rsid w:val="00065B55"/>
    <w:rsid w:val="0007155E"/>
    <w:rsid w:val="00085893"/>
    <w:rsid w:val="00086FEF"/>
    <w:rsid w:val="000B4150"/>
    <w:rsid w:val="000B6707"/>
    <w:rsid w:val="000B7D6F"/>
    <w:rsid w:val="000F7C48"/>
    <w:rsid w:val="001000E3"/>
    <w:rsid w:val="00112BB1"/>
    <w:rsid w:val="0012041B"/>
    <w:rsid w:val="00120AFD"/>
    <w:rsid w:val="00121BBD"/>
    <w:rsid w:val="00142975"/>
    <w:rsid w:val="00165EEC"/>
    <w:rsid w:val="00172D6C"/>
    <w:rsid w:val="00196A3B"/>
    <w:rsid w:val="001B31BB"/>
    <w:rsid w:val="001B5A78"/>
    <w:rsid w:val="001C4659"/>
    <w:rsid w:val="001D48BD"/>
    <w:rsid w:val="001D55F5"/>
    <w:rsid w:val="001E1CCF"/>
    <w:rsid w:val="001F46D4"/>
    <w:rsid w:val="0020328F"/>
    <w:rsid w:val="0021571E"/>
    <w:rsid w:val="00226814"/>
    <w:rsid w:val="00231130"/>
    <w:rsid w:val="00245E0B"/>
    <w:rsid w:val="002637C8"/>
    <w:rsid w:val="0026408C"/>
    <w:rsid w:val="002855DE"/>
    <w:rsid w:val="00287E70"/>
    <w:rsid w:val="002B3F66"/>
    <w:rsid w:val="002B6A04"/>
    <w:rsid w:val="002C3145"/>
    <w:rsid w:val="002E3365"/>
    <w:rsid w:val="002F75ED"/>
    <w:rsid w:val="00300F48"/>
    <w:rsid w:val="003058C7"/>
    <w:rsid w:val="003149DC"/>
    <w:rsid w:val="00322F13"/>
    <w:rsid w:val="0033068C"/>
    <w:rsid w:val="00342F0F"/>
    <w:rsid w:val="0035168B"/>
    <w:rsid w:val="00354A1B"/>
    <w:rsid w:val="0035664D"/>
    <w:rsid w:val="00357306"/>
    <w:rsid w:val="003700BF"/>
    <w:rsid w:val="0037058D"/>
    <w:rsid w:val="00381ABF"/>
    <w:rsid w:val="0039572D"/>
    <w:rsid w:val="003A142B"/>
    <w:rsid w:val="003B02A6"/>
    <w:rsid w:val="003B2183"/>
    <w:rsid w:val="003C660B"/>
    <w:rsid w:val="003E1EB1"/>
    <w:rsid w:val="003E5465"/>
    <w:rsid w:val="00400C80"/>
    <w:rsid w:val="00402FB6"/>
    <w:rsid w:val="0040455A"/>
    <w:rsid w:val="00410E2D"/>
    <w:rsid w:val="004125D6"/>
    <w:rsid w:val="004368E4"/>
    <w:rsid w:val="00441D06"/>
    <w:rsid w:val="00443C1B"/>
    <w:rsid w:val="00457EBD"/>
    <w:rsid w:val="00473D38"/>
    <w:rsid w:val="00474E77"/>
    <w:rsid w:val="004B18C3"/>
    <w:rsid w:val="004B37B7"/>
    <w:rsid w:val="004E14B9"/>
    <w:rsid w:val="004E2221"/>
    <w:rsid w:val="00547FE7"/>
    <w:rsid w:val="005543BB"/>
    <w:rsid w:val="005612CC"/>
    <w:rsid w:val="0057255E"/>
    <w:rsid w:val="005847D4"/>
    <w:rsid w:val="005A4CBE"/>
    <w:rsid w:val="005B1634"/>
    <w:rsid w:val="005E59C8"/>
    <w:rsid w:val="005F4C39"/>
    <w:rsid w:val="005F5ECC"/>
    <w:rsid w:val="00602AAC"/>
    <w:rsid w:val="00615F8C"/>
    <w:rsid w:val="00620391"/>
    <w:rsid w:val="00634A35"/>
    <w:rsid w:val="006523F6"/>
    <w:rsid w:val="00654F79"/>
    <w:rsid w:val="00661215"/>
    <w:rsid w:val="00671A61"/>
    <w:rsid w:val="006766B8"/>
    <w:rsid w:val="00694DE0"/>
    <w:rsid w:val="00697B68"/>
    <w:rsid w:val="006A33B2"/>
    <w:rsid w:val="006B1A8C"/>
    <w:rsid w:val="006B30A9"/>
    <w:rsid w:val="006B6422"/>
    <w:rsid w:val="006C2126"/>
    <w:rsid w:val="006C31FC"/>
    <w:rsid w:val="006C48FD"/>
    <w:rsid w:val="006D1FC3"/>
    <w:rsid w:val="006D6910"/>
    <w:rsid w:val="006F0B92"/>
    <w:rsid w:val="006F1E53"/>
    <w:rsid w:val="006F1EF7"/>
    <w:rsid w:val="006F3DE1"/>
    <w:rsid w:val="00733D23"/>
    <w:rsid w:val="007424B3"/>
    <w:rsid w:val="007441D2"/>
    <w:rsid w:val="0074691A"/>
    <w:rsid w:val="00762BED"/>
    <w:rsid w:val="00771AE0"/>
    <w:rsid w:val="0077782C"/>
    <w:rsid w:val="008077BB"/>
    <w:rsid w:val="00863109"/>
    <w:rsid w:val="00870030"/>
    <w:rsid w:val="00874C99"/>
    <w:rsid w:val="00876FE1"/>
    <w:rsid w:val="0088409A"/>
    <w:rsid w:val="00896DF9"/>
    <w:rsid w:val="008A2970"/>
    <w:rsid w:val="008B0D86"/>
    <w:rsid w:val="008C3C1D"/>
    <w:rsid w:val="008E77EB"/>
    <w:rsid w:val="008F38F1"/>
    <w:rsid w:val="00903034"/>
    <w:rsid w:val="0091190B"/>
    <w:rsid w:val="00926958"/>
    <w:rsid w:val="00957C01"/>
    <w:rsid w:val="00961AE9"/>
    <w:rsid w:val="009736BE"/>
    <w:rsid w:val="00973BE5"/>
    <w:rsid w:val="00981ADB"/>
    <w:rsid w:val="009A46AE"/>
    <w:rsid w:val="009A4FDD"/>
    <w:rsid w:val="009A6B95"/>
    <w:rsid w:val="009B46F0"/>
    <w:rsid w:val="009E18D9"/>
    <w:rsid w:val="009F4500"/>
    <w:rsid w:val="00A03D58"/>
    <w:rsid w:val="00A064A0"/>
    <w:rsid w:val="00A216D5"/>
    <w:rsid w:val="00A24883"/>
    <w:rsid w:val="00A30CA7"/>
    <w:rsid w:val="00A30FCD"/>
    <w:rsid w:val="00A523D7"/>
    <w:rsid w:val="00A61956"/>
    <w:rsid w:val="00A65600"/>
    <w:rsid w:val="00A65EF0"/>
    <w:rsid w:val="00A77F7E"/>
    <w:rsid w:val="00A92C87"/>
    <w:rsid w:val="00AB010D"/>
    <w:rsid w:val="00AB014B"/>
    <w:rsid w:val="00AD0A99"/>
    <w:rsid w:val="00AD3619"/>
    <w:rsid w:val="00B104F5"/>
    <w:rsid w:val="00B232BE"/>
    <w:rsid w:val="00B30647"/>
    <w:rsid w:val="00B7379F"/>
    <w:rsid w:val="00B9448B"/>
    <w:rsid w:val="00BC5090"/>
    <w:rsid w:val="00BE04B0"/>
    <w:rsid w:val="00BE6117"/>
    <w:rsid w:val="00C13625"/>
    <w:rsid w:val="00C16B14"/>
    <w:rsid w:val="00C17DA5"/>
    <w:rsid w:val="00C26FA3"/>
    <w:rsid w:val="00C34427"/>
    <w:rsid w:val="00C344C7"/>
    <w:rsid w:val="00C41423"/>
    <w:rsid w:val="00C75AEA"/>
    <w:rsid w:val="00C80235"/>
    <w:rsid w:val="00C83642"/>
    <w:rsid w:val="00C855F1"/>
    <w:rsid w:val="00C94605"/>
    <w:rsid w:val="00C9772C"/>
    <w:rsid w:val="00CC6F75"/>
    <w:rsid w:val="00CD7820"/>
    <w:rsid w:val="00CF0A09"/>
    <w:rsid w:val="00CF1951"/>
    <w:rsid w:val="00CF65F0"/>
    <w:rsid w:val="00D02783"/>
    <w:rsid w:val="00D21CAB"/>
    <w:rsid w:val="00D25D14"/>
    <w:rsid w:val="00D54AAD"/>
    <w:rsid w:val="00D56D9F"/>
    <w:rsid w:val="00D825AE"/>
    <w:rsid w:val="00D913DA"/>
    <w:rsid w:val="00D94073"/>
    <w:rsid w:val="00D9532F"/>
    <w:rsid w:val="00DC4726"/>
    <w:rsid w:val="00DD2052"/>
    <w:rsid w:val="00DD625E"/>
    <w:rsid w:val="00DD71F4"/>
    <w:rsid w:val="00DE7C85"/>
    <w:rsid w:val="00E03396"/>
    <w:rsid w:val="00E35E67"/>
    <w:rsid w:val="00E36517"/>
    <w:rsid w:val="00E3766B"/>
    <w:rsid w:val="00E3768A"/>
    <w:rsid w:val="00E42B8C"/>
    <w:rsid w:val="00E44FA0"/>
    <w:rsid w:val="00E73422"/>
    <w:rsid w:val="00E9008E"/>
    <w:rsid w:val="00E90984"/>
    <w:rsid w:val="00EE64EC"/>
    <w:rsid w:val="00EF0ACB"/>
    <w:rsid w:val="00EF0E56"/>
    <w:rsid w:val="00EF1274"/>
    <w:rsid w:val="00EF49E2"/>
    <w:rsid w:val="00F10A3E"/>
    <w:rsid w:val="00F14102"/>
    <w:rsid w:val="00F3513E"/>
    <w:rsid w:val="00F50E93"/>
    <w:rsid w:val="00F63F80"/>
    <w:rsid w:val="00F86A50"/>
    <w:rsid w:val="00F9578B"/>
    <w:rsid w:val="00FA29BB"/>
    <w:rsid w:val="00FC5356"/>
    <w:rsid w:val="00FD3073"/>
    <w:rsid w:val="00FD5433"/>
    <w:rsid w:val="00FD7B8A"/>
    <w:rsid w:val="00FE3C12"/>
    <w:rsid w:val="00FE76A9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FB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409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8409A"/>
    <w:rPr>
      <w:rFonts w:ascii="Times New Roman" w:eastAsia="Times New Roman" w:hAnsi="Times New Roman" w:cs="Times New Roman"/>
      <w:lang w:val="x-none" w:eastAsia="x-none"/>
    </w:rPr>
  </w:style>
  <w:style w:type="paragraph" w:customStyle="1" w:styleId="StyleHeader9ptPatternClearLightGreen">
    <w:name w:val="Style Header + 9 pt Pattern: Clear (Light Green)"/>
    <w:basedOn w:val="Header"/>
    <w:link w:val="StyleHeader9ptPatternClearLightGreenChar"/>
    <w:rsid w:val="0088409A"/>
    <w:rPr>
      <w:shd w:val="clear" w:color="auto" w:fill="CCFFCC"/>
    </w:rPr>
  </w:style>
  <w:style w:type="character" w:customStyle="1" w:styleId="StyleHeader9ptPatternClearLightGreenChar">
    <w:name w:val="Style Header + 9 pt Pattern: Clear (Light Green) Char"/>
    <w:link w:val="StyleHeader9ptPatternClearLightGreen"/>
    <w:locked/>
    <w:rsid w:val="0088409A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84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9a7dbf85-5264-4010-a92a-2910a9684711">MR3QFJVZN2SF-127882721-32425</_dlc_DocId>
    <_dlc_DocIdUrl xmlns="9a7dbf85-5264-4010-a92a-2910a9684711">
      <Url>https://wwu2.sharepoint.com/sites/WCE/SSTE/_layouts/15/DocIdRedir.aspx?ID=MR3QFJVZN2SF-127882721-32425</Url>
      <Description>MR3QFJVZN2SF-127882721-32425</Description>
    </_dlc_DocIdUrl>
  </documentManagement>
</p:properties>
</file>

<file path=customXml/itemProps1.xml><?xml version="1.0" encoding="utf-8"?>
<ds:datastoreItem xmlns:ds="http://schemas.openxmlformats.org/officeDocument/2006/customXml" ds:itemID="{13B742DB-18E7-424E-9CBA-720434D3F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77E8F-E713-4628-B05E-019493AE41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729526-CA57-4BC0-BF4D-907F59578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5EAFE-4656-4A27-8546-D3DBB70AA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7dbf85-5264-4010-a92a-2910a9684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Dorothy Watson</cp:lastModifiedBy>
  <cp:revision>15</cp:revision>
  <cp:lastPrinted>2017-12-06T19:17:00Z</cp:lastPrinted>
  <dcterms:created xsi:type="dcterms:W3CDTF">2020-11-18T16:57:00Z</dcterms:created>
  <dcterms:modified xsi:type="dcterms:W3CDTF">2020-11-19T21:49:00Z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6ea5f80f-9437-4d16-99a9-03c905934b8c</vt:lpwstr>
  </property>
</Properties>
</file>