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5B" w:rsidRPr="002B2EB3" w:rsidRDefault="00E84655" w:rsidP="002B2EB3">
      <w:pPr>
        <w:jc w:val="center"/>
        <w:rPr>
          <w:b/>
          <w:sz w:val="24"/>
          <w:szCs w:val="24"/>
          <w:u w:val="single"/>
        </w:rPr>
      </w:pPr>
      <w:r>
        <w:rPr>
          <w:b/>
          <w:sz w:val="24"/>
          <w:szCs w:val="24"/>
          <w:u w:val="single"/>
        </w:rPr>
        <w:t>Closing the Loop Report 201</w:t>
      </w:r>
      <w:r w:rsidR="0038007E">
        <w:rPr>
          <w:b/>
          <w:sz w:val="24"/>
          <w:szCs w:val="24"/>
          <w:u w:val="single"/>
        </w:rPr>
        <w:t>7</w:t>
      </w:r>
    </w:p>
    <w:p w:rsidR="007002DC" w:rsidRPr="00E4628B" w:rsidRDefault="008C6396" w:rsidP="00E4628B">
      <w:pPr>
        <w:jc w:val="center"/>
        <w:rPr>
          <w:b/>
          <w:bCs/>
          <w:sz w:val="24"/>
          <w:szCs w:val="24"/>
        </w:rPr>
      </w:pPr>
      <w:r w:rsidRPr="00886B9E">
        <w:rPr>
          <w:b/>
          <w:bCs/>
          <w:sz w:val="24"/>
          <w:szCs w:val="24"/>
        </w:rPr>
        <w:t>Elementary Education Certification Program</w:t>
      </w:r>
    </w:p>
    <w:p w:rsidR="008C6396" w:rsidRPr="00886B9E" w:rsidRDefault="00A02163" w:rsidP="008C6396">
      <w:pPr>
        <w:rPr>
          <w:b/>
          <w:sz w:val="24"/>
          <w:szCs w:val="24"/>
        </w:rPr>
      </w:pPr>
      <w:r w:rsidRPr="00886B9E">
        <w:rPr>
          <w:b/>
          <w:sz w:val="24"/>
          <w:szCs w:val="24"/>
        </w:rPr>
        <w:t>Section 1: Program Assessment Plan Transition Point Assessments</w:t>
      </w:r>
    </w:p>
    <w:tbl>
      <w:tblPr>
        <w:tblStyle w:val="TableGrid"/>
        <w:tblW w:w="0" w:type="auto"/>
        <w:tblLook w:val="04A0" w:firstRow="1" w:lastRow="0" w:firstColumn="1" w:lastColumn="0" w:noHBand="0" w:noVBand="1"/>
      </w:tblPr>
      <w:tblGrid>
        <w:gridCol w:w="2718"/>
        <w:gridCol w:w="6858"/>
      </w:tblGrid>
      <w:tr w:rsidR="00A02163" w:rsidRPr="00886B9E" w:rsidTr="00A02163">
        <w:tc>
          <w:tcPr>
            <w:tcW w:w="2718" w:type="dxa"/>
          </w:tcPr>
          <w:p w:rsidR="00A02163" w:rsidRPr="00886B9E" w:rsidRDefault="00A02163" w:rsidP="008C6396">
            <w:pPr>
              <w:rPr>
                <w:sz w:val="24"/>
                <w:szCs w:val="24"/>
              </w:rPr>
            </w:pPr>
            <w:r w:rsidRPr="00886B9E">
              <w:rPr>
                <w:sz w:val="24"/>
                <w:szCs w:val="24"/>
              </w:rPr>
              <w:t>Admission</w:t>
            </w:r>
          </w:p>
        </w:tc>
        <w:tc>
          <w:tcPr>
            <w:tcW w:w="6858" w:type="dxa"/>
          </w:tcPr>
          <w:p w:rsidR="00A02163" w:rsidRPr="00886B9E" w:rsidRDefault="003A54E4" w:rsidP="008C6396">
            <w:pPr>
              <w:rPr>
                <w:sz w:val="24"/>
                <w:szCs w:val="24"/>
              </w:rPr>
            </w:pPr>
            <w:r w:rsidRPr="00886B9E">
              <w:rPr>
                <w:sz w:val="24"/>
                <w:szCs w:val="24"/>
              </w:rPr>
              <w:t>WEST B or passing score on SAT or ACT; GPA of 2.75 or higher; Minimum 45 graded quarter credits; Two reflective essays connected to WCE vision</w:t>
            </w:r>
          </w:p>
        </w:tc>
      </w:tr>
      <w:tr w:rsidR="00A02163" w:rsidRPr="00886B9E" w:rsidTr="00A02163">
        <w:tc>
          <w:tcPr>
            <w:tcW w:w="2718" w:type="dxa"/>
          </w:tcPr>
          <w:p w:rsidR="00A02163" w:rsidRPr="00886B9E" w:rsidRDefault="00A02163" w:rsidP="008C6396">
            <w:pPr>
              <w:rPr>
                <w:sz w:val="24"/>
                <w:szCs w:val="24"/>
              </w:rPr>
            </w:pPr>
            <w:r w:rsidRPr="00886B9E">
              <w:rPr>
                <w:sz w:val="24"/>
                <w:szCs w:val="24"/>
              </w:rPr>
              <w:t>Program Retention</w:t>
            </w:r>
          </w:p>
        </w:tc>
        <w:tc>
          <w:tcPr>
            <w:tcW w:w="6858" w:type="dxa"/>
          </w:tcPr>
          <w:p w:rsidR="00A02163" w:rsidRPr="00886B9E" w:rsidRDefault="00627DC5" w:rsidP="007E5F13">
            <w:pPr>
              <w:rPr>
                <w:sz w:val="24"/>
                <w:szCs w:val="24"/>
              </w:rPr>
            </w:pPr>
            <w:r>
              <w:rPr>
                <w:sz w:val="24"/>
                <w:szCs w:val="24"/>
              </w:rPr>
              <w:t>ELED o</w:t>
            </w:r>
            <w:r w:rsidR="003A54E4" w:rsidRPr="00886B9E">
              <w:rPr>
                <w:sz w:val="24"/>
                <w:szCs w:val="24"/>
              </w:rPr>
              <w:t>rientation</w:t>
            </w:r>
            <w:r>
              <w:rPr>
                <w:sz w:val="24"/>
                <w:szCs w:val="24"/>
              </w:rPr>
              <w:t xml:space="preserve"> for new students</w:t>
            </w:r>
            <w:r w:rsidR="003A54E4" w:rsidRPr="00886B9E">
              <w:rPr>
                <w:sz w:val="24"/>
                <w:szCs w:val="24"/>
              </w:rPr>
              <w:t xml:space="preserve">; </w:t>
            </w:r>
            <w:r w:rsidR="00B2266B">
              <w:rPr>
                <w:sz w:val="24"/>
                <w:szCs w:val="24"/>
              </w:rPr>
              <w:t xml:space="preserve">Embedded Signature Assessments </w:t>
            </w:r>
            <w:r w:rsidR="007E5F13" w:rsidRPr="00886B9E">
              <w:rPr>
                <w:sz w:val="24"/>
                <w:szCs w:val="24"/>
              </w:rPr>
              <w:t xml:space="preserve">drawing upon </w:t>
            </w:r>
            <w:proofErr w:type="spellStart"/>
            <w:r w:rsidR="007E5F13" w:rsidRPr="00886B9E">
              <w:rPr>
                <w:sz w:val="24"/>
                <w:szCs w:val="24"/>
              </w:rPr>
              <w:t>ElEd</w:t>
            </w:r>
            <w:proofErr w:type="spellEnd"/>
            <w:r w:rsidR="007E5F13" w:rsidRPr="00886B9E">
              <w:rPr>
                <w:sz w:val="24"/>
                <w:szCs w:val="24"/>
              </w:rPr>
              <w:t xml:space="preserve"> Department Core Practices ad</w:t>
            </w:r>
            <w:r w:rsidR="00A749B6">
              <w:rPr>
                <w:sz w:val="24"/>
                <w:szCs w:val="24"/>
              </w:rPr>
              <w:t xml:space="preserve">ministered in </w:t>
            </w:r>
            <w:proofErr w:type="spellStart"/>
            <w:r w:rsidR="00A749B6">
              <w:rPr>
                <w:sz w:val="24"/>
                <w:szCs w:val="24"/>
              </w:rPr>
              <w:t>ElEd</w:t>
            </w:r>
            <w:proofErr w:type="spellEnd"/>
            <w:r w:rsidR="00A749B6">
              <w:rPr>
                <w:sz w:val="24"/>
                <w:szCs w:val="24"/>
              </w:rPr>
              <w:t xml:space="preserve"> 370</w:t>
            </w:r>
            <w:r w:rsidR="0038007E">
              <w:rPr>
                <w:sz w:val="24"/>
                <w:szCs w:val="24"/>
              </w:rPr>
              <w:t xml:space="preserve">, </w:t>
            </w:r>
            <w:proofErr w:type="spellStart"/>
            <w:r w:rsidR="00E84655">
              <w:rPr>
                <w:sz w:val="24"/>
                <w:szCs w:val="24"/>
              </w:rPr>
              <w:t>ElEd</w:t>
            </w:r>
            <w:proofErr w:type="spellEnd"/>
            <w:r w:rsidR="00E84655">
              <w:rPr>
                <w:sz w:val="24"/>
                <w:szCs w:val="24"/>
              </w:rPr>
              <w:t xml:space="preserve"> 481</w:t>
            </w:r>
            <w:r w:rsidR="0038007E">
              <w:rPr>
                <w:sz w:val="24"/>
                <w:szCs w:val="24"/>
              </w:rPr>
              <w:t xml:space="preserve">, and edTPA, with </w:t>
            </w:r>
            <w:r w:rsidR="0038007E" w:rsidRPr="0038007E">
              <w:rPr>
                <w:sz w:val="24"/>
                <w:szCs w:val="24"/>
              </w:rPr>
              <w:t>faculty review</w:t>
            </w:r>
            <w:r w:rsidR="0038007E">
              <w:rPr>
                <w:sz w:val="24"/>
                <w:szCs w:val="24"/>
              </w:rPr>
              <w:t>ing students’</w:t>
            </w:r>
            <w:r w:rsidR="0038007E" w:rsidRPr="0038007E">
              <w:rPr>
                <w:sz w:val="24"/>
                <w:szCs w:val="24"/>
              </w:rPr>
              <w:t xml:space="preserve"> performance to monitor individual progress and program effectiveness</w:t>
            </w:r>
            <w:r w:rsidR="007E5F13" w:rsidRPr="00886B9E">
              <w:rPr>
                <w:sz w:val="24"/>
                <w:szCs w:val="24"/>
              </w:rPr>
              <w:t xml:space="preserve">. </w:t>
            </w:r>
            <w:r w:rsidR="0038007E">
              <w:rPr>
                <w:sz w:val="24"/>
                <w:szCs w:val="24"/>
              </w:rPr>
              <w:t>New advising process</w:t>
            </w:r>
            <w:r>
              <w:rPr>
                <w:sz w:val="24"/>
                <w:szCs w:val="24"/>
              </w:rPr>
              <w:t xml:space="preserve"> in 2017</w:t>
            </w:r>
            <w:r w:rsidR="0038007E">
              <w:rPr>
                <w:sz w:val="24"/>
                <w:szCs w:val="24"/>
              </w:rPr>
              <w:t xml:space="preserve"> to support students who are not meeting program expectations</w:t>
            </w:r>
            <w:r w:rsidR="007E5F13" w:rsidRPr="00886B9E">
              <w:rPr>
                <w:sz w:val="24"/>
                <w:szCs w:val="24"/>
              </w:rPr>
              <w:t>.</w:t>
            </w:r>
          </w:p>
        </w:tc>
      </w:tr>
      <w:tr w:rsidR="00A02163" w:rsidRPr="00886B9E" w:rsidTr="00A02163">
        <w:tc>
          <w:tcPr>
            <w:tcW w:w="2718" w:type="dxa"/>
          </w:tcPr>
          <w:p w:rsidR="00A02163" w:rsidRPr="00886B9E" w:rsidRDefault="00A02163" w:rsidP="008C6396">
            <w:pPr>
              <w:rPr>
                <w:sz w:val="24"/>
                <w:szCs w:val="24"/>
              </w:rPr>
            </w:pPr>
            <w:r w:rsidRPr="00886B9E">
              <w:rPr>
                <w:sz w:val="24"/>
                <w:szCs w:val="24"/>
              </w:rPr>
              <w:t>Qualification for Fulltime Internship</w:t>
            </w:r>
          </w:p>
        </w:tc>
        <w:tc>
          <w:tcPr>
            <w:tcW w:w="6858" w:type="dxa"/>
          </w:tcPr>
          <w:p w:rsidR="00A02163" w:rsidRPr="00886B9E" w:rsidRDefault="007E5F13" w:rsidP="007E5F13">
            <w:pPr>
              <w:rPr>
                <w:sz w:val="24"/>
                <w:szCs w:val="24"/>
              </w:rPr>
            </w:pPr>
            <w:r w:rsidRPr="00886B9E">
              <w:rPr>
                <w:sz w:val="24"/>
                <w:szCs w:val="24"/>
              </w:rPr>
              <w:t>GPA of 2.75 or higher; NES</w:t>
            </w:r>
            <w:r w:rsidR="003A54E4" w:rsidRPr="00886B9E">
              <w:rPr>
                <w:sz w:val="24"/>
                <w:szCs w:val="24"/>
              </w:rPr>
              <w:t xml:space="preserve">; Practicum performance evaluations; Completion of all endorsement courses with grade of C or better; Finger printing/character and fitness clearance through internship term; </w:t>
            </w:r>
            <w:r w:rsidRPr="00886B9E">
              <w:rPr>
                <w:sz w:val="24"/>
                <w:szCs w:val="24"/>
              </w:rPr>
              <w:t>edTPA passing score</w:t>
            </w:r>
            <w:r w:rsidR="003A54E4" w:rsidRPr="00886B9E">
              <w:rPr>
                <w:sz w:val="24"/>
                <w:szCs w:val="24"/>
              </w:rPr>
              <w:t>.</w:t>
            </w:r>
          </w:p>
        </w:tc>
      </w:tr>
      <w:tr w:rsidR="00A02163" w:rsidRPr="00886B9E" w:rsidTr="00A02163">
        <w:tc>
          <w:tcPr>
            <w:tcW w:w="2718" w:type="dxa"/>
          </w:tcPr>
          <w:p w:rsidR="00A02163" w:rsidRPr="00886B9E" w:rsidRDefault="00A02163" w:rsidP="008C6396">
            <w:pPr>
              <w:rPr>
                <w:sz w:val="24"/>
                <w:szCs w:val="24"/>
              </w:rPr>
            </w:pPr>
            <w:r w:rsidRPr="00886B9E">
              <w:rPr>
                <w:sz w:val="24"/>
                <w:szCs w:val="24"/>
              </w:rPr>
              <w:t>Program Completion</w:t>
            </w:r>
          </w:p>
        </w:tc>
        <w:tc>
          <w:tcPr>
            <w:tcW w:w="6858" w:type="dxa"/>
          </w:tcPr>
          <w:p w:rsidR="00A02163" w:rsidRPr="00886B9E" w:rsidRDefault="000269A8" w:rsidP="008C6396">
            <w:pPr>
              <w:rPr>
                <w:sz w:val="24"/>
                <w:szCs w:val="24"/>
              </w:rPr>
            </w:pPr>
            <w:r w:rsidRPr="00886B9E">
              <w:rPr>
                <w:sz w:val="24"/>
                <w:szCs w:val="24"/>
              </w:rPr>
              <w:t>Intern Development Evaluation System (IDES); Draft professional growth plan; Dean’s affidavit of character/fitness; Degree requirements met; Internship survey</w:t>
            </w:r>
          </w:p>
        </w:tc>
      </w:tr>
      <w:tr w:rsidR="00A02163" w:rsidRPr="00886B9E" w:rsidTr="00A02163">
        <w:tc>
          <w:tcPr>
            <w:tcW w:w="2718" w:type="dxa"/>
          </w:tcPr>
          <w:p w:rsidR="00A02163" w:rsidRPr="00886B9E" w:rsidRDefault="00A02163" w:rsidP="008C6396">
            <w:pPr>
              <w:rPr>
                <w:sz w:val="24"/>
                <w:szCs w:val="24"/>
              </w:rPr>
            </w:pPr>
            <w:r w:rsidRPr="00886B9E">
              <w:rPr>
                <w:sz w:val="24"/>
                <w:szCs w:val="24"/>
              </w:rPr>
              <w:t>Post Program Completion</w:t>
            </w:r>
          </w:p>
        </w:tc>
        <w:tc>
          <w:tcPr>
            <w:tcW w:w="6858" w:type="dxa"/>
          </w:tcPr>
          <w:p w:rsidR="000269A8" w:rsidRPr="00886B9E" w:rsidRDefault="000269A8" w:rsidP="008C6396">
            <w:pPr>
              <w:rPr>
                <w:sz w:val="24"/>
                <w:szCs w:val="24"/>
              </w:rPr>
            </w:pPr>
            <w:r w:rsidRPr="00886B9E">
              <w:rPr>
                <w:sz w:val="24"/>
                <w:szCs w:val="24"/>
              </w:rPr>
              <w:t>Career Services Center Placement Survey; Follow-up surveys of alumni and principals at 1</w:t>
            </w:r>
            <w:r w:rsidRPr="00886B9E">
              <w:rPr>
                <w:sz w:val="24"/>
                <w:szCs w:val="24"/>
                <w:vertAlign w:val="superscript"/>
              </w:rPr>
              <w:t>st</w:t>
            </w:r>
            <w:r w:rsidRPr="00886B9E">
              <w:rPr>
                <w:sz w:val="24"/>
                <w:szCs w:val="24"/>
              </w:rPr>
              <w:t xml:space="preserve"> and 3</w:t>
            </w:r>
            <w:r w:rsidRPr="00886B9E">
              <w:rPr>
                <w:sz w:val="24"/>
                <w:szCs w:val="24"/>
                <w:vertAlign w:val="superscript"/>
              </w:rPr>
              <w:t>rd</w:t>
            </w:r>
            <w:r w:rsidRPr="00886B9E">
              <w:rPr>
                <w:sz w:val="24"/>
                <w:szCs w:val="24"/>
              </w:rPr>
              <w:t xml:space="preserve"> year; WA State New Teacher Survey</w:t>
            </w:r>
          </w:p>
        </w:tc>
      </w:tr>
    </w:tbl>
    <w:p w:rsidR="00ED0B70" w:rsidRDefault="00ED0B70" w:rsidP="008C6396">
      <w:pPr>
        <w:rPr>
          <w:b/>
          <w:sz w:val="24"/>
          <w:szCs w:val="24"/>
        </w:rPr>
      </w:pPr>
    </w:p>
    <w:p w:rsidR="000269A8" w:rsidRPr="00886B9E" w:rsidRDefault="000269A8" w:rsidP="008C6396">
      <w:pPr>
        <w:rPr>
          <w:b/>
          <w:sz w:val="24"/>
          <w:szCs w:val="24"/>
        </w:rPr>
      </w:pPr>
      <w:r w:rsidRPr="00886B9E">
        <w:rPr>
          <w:b/>
          <w:sz w:val="24"/>
          <w:szCs w:val="24"/>
        </w:rPr>
        <w:t>Section 2: Use of Data for Improvements of Programs and/or Operations</w:t>
      </w:r>
    </w:p>
    <w:p w:rsidR="008C6396" w:rsidRPr="009E122F" w:rsidRDefault="009E122F" w:rsidP="001A6840">
      <w:pPr>
        <w:pStyle w:val="ListParagraph"/>
        <w:numPr>
          <w:ilvl w:val="0"/>
          <w:numId w:val="1"/>
        </w:numPr>
        <w:rPr>
          <w:sz w:val="24"/>
          <w:szCs w:val="24"/>
        </w:rPr>
      </w:pPr>
      <w:r w:rsidRPr="001A6840">
        <w:rPr>
          <w:b/>
          <w:sz w:val="24"/>
          <w:szCs w:val="24"/>
        </w:rPr>
        <w:t>Guiding Principles</w:t>
      </w:r>
      <w:r w:rsidRPr="009E122F">
        <w:rPr>
          <w:b/>
          <w:sz w:val="24"/>
          <w:szCs w:val="24"/>
        </w:rPr>
        <w:t>/Practices and Signature Assessments</w:t>
      </w:r>
      <w:r>
        <w:rPr>
          <w:sz w:val="24"/>
          <w:szCs w:val="24"/>
        </w:rPr>
        <w:t xml:space="preserve">: The Elementary Education program </w:t>
      </w:r>
      <w:r w:rsidR="00150293" w:rsidRPr="009E122F">
        <w:rPr>
          <w:sz w:val="24"/>
          <w:szCs w:val="24"/>
        </w:rPr>
        <w:t>is focused on</w:t>
      </w:r>
      <w:r w:rsidR="000A793D" w:rsidRPr="009E122F">
        <w:rPr>
          <w:sz w:val="24"/>
          <w:szCs w:val="24"/>
        </w:rPr>
        <w:t xml:space="preserve"> a</w:t>
      </w:r>
      <w:r w:rsidR="00150293" w:rsidRPr="009E122F">
        <w:rPr>
          <w:sz w:val="24"/>
          <w:szCs w:val="24"/>
        </w:rPr>
        <w:t xml:space="preserve"> faculty-approved</w:t>
      </w:r>
      <w:r w:rsidR="000A793D" w:rsidRPr="009E122F">
        <w:rPr>
          <w:sz w:val="24"/>
          <w:szCs w:val="24"/>
        </w:rPr>
        <w:t xml:space="preserve"> set of Guiding Principles and related Core Practices that define the key aims of the Eleme</w:t>
      </w:r>
      <w:r w:rsidR="00DF58CF" w:rsidRPr="009E122F">
        <w:rPr>
          <w:sz w:val="24"/>
          <w:szCs w:val="24"/>
        </w:rPr>
        <w:t>ntary Teacher Education Program</w:t>
      </w:r>
      <w:r w:rsidR="000A793D" w:rsidRPr="009E122F">
        <w:rPr>
          <w:sz w:val="24"/>
          <w:szCs w:val="24"/>
        </w:rPr>
        <w:t>.</w:t>
      </w:r>
      <w:r w:rsidR="00C8698D" w:rsidRPr="009E122F">
        <w:rPr>
          <w:sz w:val="24"/>
          <w:szCs w:val="24"/>
        </w:rPr>
        <w:t xml:space="preserve"> This system </w:t>
      </w:r>
      <w:r w:rsidR="006A356C" w:rsidRPr="009E122F">
        <w:rPr>
          <w:sz w:val="24"/>
          <w:szCs w:val="24"/>
        </w:rPr>
        <w:t xml:space="preserve">was initiated, beginning in </w:t>
      </w:r>
      <w:r w:rsidR="00150293" w:rsidRPr="009E122F">
        <w:rPr>
          <w:sz w:val="24"/>
          <w:szCs w:val="24"/>
        </w:rPr>
        <w:t>2016-17</w:t>
      </w:r>
      <w:r w:rsidR="000A793D" w:rsidRPr="009E122F">
        <w:rPr>
          <w:sz w:val="24"/>
          <w:szCs w:val="24"/>
        </w:rPr>
        <w:t xml:space="preserve"> with newly designed Embedded Signature A</w:t>
      </w:r>
      <w:r w:rsidR="00C07543" w:rsidRPr="009E122F">
        <w:rPr>
          <w:sz w:val="24"/>
          <w:szCs w:val="24"/>
        </w:rPr>
        <w:t>ssessments administered in two</w:t>
      </w:r>
      <w:r w:rsidR="000A793D" w:rsidRPr="009E122F">
        <w:rPr>
          <w:sz w:val="24"/>
          <w:szCs w:val="24"/>
        </w:rPr>
        <w:t xml:space="preserve"> courses </w:t>
      </w:r>
      <w:r w:rsidR="00150293" w:rsidRPr="009E122F">
        <w:rPr>
          <w:sz w:val="24"/>
          <w:szCs w:val="24"/>
        </w:rPr>
        <w:t>(ELED 370 and ELED 481)</w:t>
      </w:r>
      <w:r w:rsidR="00627DC5" w:rsidRPr="009E122F">
        <w:rPr>
          <w:sz w:val="24"/>
          <w:szCs w:val="24"/>
        </w:rPr>
        <w:t xml:space="preserve"> </w:t>
      </w:r>
      <w:r w:rsidR="000A793D" w:rsidRPr="009E122F">
        <w:rPr>
          <w:sz w:val="24"/>
          <w:szCs w:val="24"/>
        </w:rPr>
        <w:t xml:space="preserve">that span entry into the program until the </w:t>
      </w:r>
      <w:r w:rsidR="00C07543" w:rsidRPr="009E122F">
        <w:rPr>
          <w:sz w:val="24"/>
          <w:szCs w:val="24"/>
        </w:rPr>
        <w:t>midpoint of the program</w:t>
      </w:r>
      <w:r w:rsidR="004B1059" w:rsidRPr="009E122F">
        <w:rPr>
          <w:sz w:val="24"/>
          <w:szCs w:val="24"/>
        </w:rPr>
        <w:t xml:space="preserve">, after which, the edTPA performance assessment </w:t>
      </w:r>
      <w:r w:rsidR="00C07543" w:rsidRPr="009E122F">
        <w:rPr>
          <w:sz w:val="24"/>
          <w:szCs w:val="24"/>
        </w:rPr>
        <w:t xml:space="preserve">at the end of the program </w:t>
      </w:r>
      <w:r w:rsidR="004B1059" w:rsidRPr="009E122F">
        <w:rPr>
          <w:sz w:val="24"/>
          <w:szCs w:val="24"/>
        </w:rPr>
        <w:t>plays a similar function</w:t>
      </w:r>
      <w:r w:rsidR="00C8698D" w:rsidRPr="009E122F">
        <w:rPr>
          <w:sz w:val="24"/>
          <w:szCs w:val="24"/>
        </w:rPr>
        <w:t xml:space="preserve">. </w:t>
      </w:r>
      <w:r w:rsidR="00FA674C" w:rsidRPr="009E122F">
        <w:rPr>
          <w:sz w:val="24"/>
          <w:szCs w:val="24"/>
        </w:rPr>
        <w:t>In 2017, the</w:t>
      </w:r>
      <w:r w:rsidR="00C8698D" w:rsidRPr="009E122F">
        <w:rPr>
          <w:sz w:val="24"/>
          <w:szCs w:val="24"/>
        </w:rPr>
        <w:t xml:space="preserve"> assessment of core practices </w:t>
      </w:r>
      <w:r w:rsidR="00FA674C" w:rsidRPr="009E122F">
        <w:rPr>
          <w:sz w:val="24"/>
          <w:szCs w:val="24"/>
        </w:rPr>
        <w:t>was</w:t>
      </w:r>
      <w:r w:rsidR="00C8698D" w:rsidRPr="009E122F">
        <w:rPr>
          <w:sz w:val="24"/>
          <w:szCs w:val="24"/>
        </w:rPr>
        <w:t xml:space="preserve"> integrated into the program assessment system</w:t>
      </w:r>
      <w:r w:rsidR="004B1059" w:rsidRPr="009E122F">
        <w:rPr>
          <w:sz w:val="24"/>
          <w:szCs w:val="24"/>
        </w:rPr>
        <w:t xml:space="preserve"> as</w:t>
      </w:r>
      <w:r w:rsidR="00C8698D" w:rsidRPr="009E122F">
        <w:rPr>
          <w:sz w:val="24"/>
          <w:szCs w:val="24"/>
        </w:rPr>
        <w:t xml:space="preserve"> outlined above in Section 1. The guiding principles </w:t>
      </w:r>
      <w:r w:rsidR="000A793D" w:rsidRPr="009E122F">
        <w:rPr>
          <w:sz w:val="24"/>
          <w:szCs w:val="24"/>
        </w:rPr>
        <w:t xml:space="preserve">and core practices </w:t>
      </w:r>
      <w:r w:rsidR="00C8698D" w:rsidRPr="009E122F">
        <w:rPr>
          <w:sz w:val="24"/>
          <w:szCs w:val="24"/>
        </w:rPr>
        <w:t>we have identified encompass key external indicators, including</w:t>
      </w:r>
      <w:r w:rsidR="00B10B45" w:rsidRPr="009E122F">
        <w:rPr>
          <w:sz w:val="24"/>
          <w:szCs w:val="24"/>
        </w:rPr>
        <w:t>:</w:t>
      </w:r>
    </w:p>
    <w:p w:rsidR="00B10B45" w:rsidRPr="00886B9E" w:rsidRDefault="00B10B45" w:rsidP="002B2EB3">
      <w:pPr>
        <w:pStyle w:val="ListParagraph"/>
        <w:numPr>
          <w:ilvl w:val="1"/>
          <w:numId w:val="1"/>
        </w:numPr>
        <w:ind w:left="1080"/>
        <w:rPr>
          <w:sz w:val="24"/>
          <w:szCs w:val="24"/>
        </w:rPr>
      </w:pPr>
      <w:r w:rsidRPr="00886B9E">
        <w:rPr>
          <w:sz w:val="24"/>
          <w:szCs w:val="24"/>
        </w:rPr>
        <w:t xml:space="preserve">The </w:t>
      </w:r>
      <w:r w:rsidR="000A793D" w:rsidRPr="00886B9E">
        <w:rPr>
          <w:sz w:val="24"/>
          <w:szCs w:val="24"/>
        </w:rPr>
        <w:t>r</w:t>
      </w:r>
      <w:r w:rsidRPr="00886B9E">
        <w:rPr>
          <w:sz w:val="24"/>
          <w:szCs w:val="24"/>
        </w:rPr>
        <w:t xml:space="preserve">evised </w:t>
      </w:r>
      <w:r w:rsidRPr="00886B9E">
        <w:rPr>
          <w:b/>
          <w:sz w:val="24"/>
          <w:szCs w:val="24"/>
        </w:rPr>
        <w:t>ELED endorsement competencies</w:t>
      </w:r>
      <w:r w:rsidR="00AE0C00" w:rsidRPr="00886B9E">
        <w:rPr>
          <w:sz w:val="24"/>
          <w:szCs w:val="24"/>
        </w:rPr>
        <w:t xml:space="preserve"> for Washington State</w:t>
      </w:r>
    </w:p>
    <w:p w:rsidR="00B10B45" w:rsidRPr="00886B9E" w:rsidRDefault="00B10B45" w:rsidP="002B2EB3">
      <w:pPr>
        <w:pStyle w:val="ListParagraph"/>
        <w:numPr>
          <w:ilvl w:val="1"/>
          <w:numId w:val="1"/>
        </w:numPr>
        <w:ind w:left="1080"/>
        <w:rPr>
          <w:b/>
          <w:sz w:val="24"/>
          <w:szCs w:val="24"/>
        </w:rPr>
      </w:pPr>
      <w:r w:rsidRPr="00886B9E">
        <w:rPr>
          <w:b/>
          <w:sz w:val="24"/>
          <w:szCs w:val="24"/>
        </w:rPr>
        <w:t>Standard V</w:t>
      </w:r>
      <w:r w:rsidR="00C3551E" w:rsidRPr="00886B9E">
        <w:rPr>
          <w:b/>
          <w:sz w:val="24"/>
          <w:szCs w:val="24"/>
        </w:rPr>
        <w:t xml:space="preserve"> indicators</w:t>
      </w:r>
    </w:p>
    <w:p w:rsidR="00B10B45" w:rsidRPr="001C66D4" w:rsidRDefault="00C3551E" w:rsidP="002B2EB3">
      <w:pPr>
        <w:pStyle w:val="ListParagraph"/>
        <w:numPr>
          <w:ilvl w:val="1"/>
          <w:numId w:val="1"/>
        </w:numPr>
        <w:ind w:left="1080"/>
        <w:rPr>
          <w:sz w:val="24"/>
          <w:szCs w:val="24"/>
        </w:rPr>
      </w:pPr>
      <w:r w:rsidRPr="00886B9E">
        <w:rPr>
          <w:sz w:val="24"/>
          <w:szCs w:val="24"/>
        </w:rPr>
        <w:t xml:space="preserve">The competencies approached through </w:t>
      </w:r>
      <w:r w:rsidR="00B10B45" w:rsidRPr="00886B9E">
        <w:rPr>
          <w:b/>
          <w:sz w:val="24"/>
          <w:szCs w:val="24"/>
        </w:rPr>
        <w:t>edTPA</w:t>
      </w:r>
      <w:r w:rsidRPr="00886B9E">
        <w:rPr>
          <w:b/>
          <w:sz w:val="24"/>
          <w:szCs w:val="24"/>
        </w:rPr>
        <w:t xml:space="preserve"> </w:t>
      </w:r>
    </w:p>
    <w:p w:rsidR="001C66D4" w:rsidRPr="00886B9E" w:rsidRDefault="001C66D4" w:rsidP="002B2EB3">
      <w:pPr>
        <w:pStyle w:val="ListParagraph"/>
        <w:numPr>
          <w:ilvl w:val="1"/>
          <w:numId w:val="1"/>
        </w:numPr>
        <w:ind w:left="1080"/>
        <w:rPr>
          <w:sz w:val="24"/>
          <w:szCs w:val="24"/>
        </w:rPr>
      </w:pPr>
      <w:r>
        <w:rPr>
          <w:b/>
          <w:sz w:val="24"/>
          <w:szCs w:val="24"/>
        </w:rPr>
        <w:t xml:space="preserve">INTASC </w:t>
      </w:r>
      <w:r w:rsidR="005C0DD5">
        <w:rPr>
          <w:b/>
          <w:sz w:val="24"/>
          <w:szCs w:val="24"/>
        </w:rPr>
        <w:t>Model Core Teaching Standards</w:t>
      </w:r>
    </w:p>
    <w:p w:rsidR="009E122F" w:rsidRDefault="009E122F" w:rsidP="009E122F">
      <w:pPr>
        <w:pStyle w:val="ListParagraph"/>
        <w:ind w:left="360"/>
        <w:rPr>
          <w:sz w:val="24"/>
          <w:szCs w:val="24"/>
        </w:rPr>
      </w:pPr>
    </w:p>
    <w:p w:rsidR="009E122F" w:rsidRDefault="00627DC5" w:rsidP="009E122F">
      <w:pPr>
        <w:pStyle w:val="ListParagraph"/>
        <w:ind w:left="360"/>
        <w:rPr>
          <w:sz w:val="24"/>
          <w:szCs w:val="24"/>
        </w:rPr>
      </w:pPr>
      <w:r>
        <w:rPr>
          <w:sz w:val="24"/>
          <w:szCs w:val="24"/>
        </w:rPr>
        <w:t xml:space="preserve">In 2017, </w:t>
      </w:r>
      <w:r w:rsidR="00C64E7D">
        <w:rPr>
          <w:sz w:val="24"/>
          <w:szCs w:val="24"/>
        </w:rPr>
        <w:t xml:space="preserve">groups of pertinent </w:t>
      </w:r>
      <w:r>
        <w:rPr>
          <w:sz w:val="24"/>
          <w:szCs w:val="24"/>
        </w:rPr>
        <w:t>ELED faculty met to discuss the initial program assessment data</w:t>
      </w:r>
      <w:r w:rsidR="00C64E7D">
        <w:rPr>
          <w:sz w:val="24"/>
          <w:szCs w:val="24"/>
        </w:rPr>
        <w:t xml:space="preserve"> gathered at the beginning and middle of the program</w:t>
      </w:r>
      <w:r>
        <w:rPr>
          <w:sz w:val="24"/>
          <w:szCs w:val="24"/>
        </w:rPr>
        <w:t xml:space="preserve">. While these meetings demonstrated that the “progress points” identified at the beginning, middle, and end of the program are helpful </w:t>
      </w:r>
      <w:r w:rsidR="00C64E7D">
        <w:rPr>
          <w:sz w:val="24"/>
          <w:szCs w:val="24"/>
        </w:rPr>
        <w:t xml:space="preserve">to </w:t>
      </w:r>
      <w:r>
        <w:rPr>
          <w:sz w:val="24"/>
          <w:szCs w:val="24"/>
        </w:rPr>
        <w:t xml:space="preserve">identify students’ progress toward the program’s outcomes, there </w:t>
      </w:r>
      <w:r w:rsidR="00C64E7D">
        <w:rPr>
          <w:sz w:val="24"/>
          <w:szCs w:val="24"/>
        </w:rPr>
        <w:t>has been little investigation of the connections between and use of the assessment data</w:t>
      </w:r>
      <w:r w:rsidR="00095D36">
        <w:rPr>
          <w:sz w:val="24"/>
          <w:szCs w:val="24"/>
        </w:rPr>
        <w:t xml:space="preserve"> for program improvement</w:t>
      </w:r>
      <w:r w:rsidR="00C64E7D">
        <w:rPr>
          <w:sz w:val="24"/>
          <w:szCs w:val="24"/>
        </w:rPr>
        <w:t xml:space="preserve"> as </w:t>
      </w:r>
      <w:proofErr w:type="gramStart"/>
      <w:r w:rsidR="00C64E7D">
        <w:rPr>
          <w:sz w:val="24"/>
          <w:szCs w:val="24"/>
        </w:rPr>
        <w:t>candidates</w:t>
      </w:r>
      <w:proofErr w:type="gramEnd"/>
      <w:r w:rsidR="00C64E7D">
        <w:rPr>
          <w:sz w:val="24"/>
          <w:szCs w:val="24"/>
        </w:rPr>
        <w:t xml:space="preserve"> progress through the early, middle, and late parts of their program. While most candidates, at this stage, are succeeding on most of the dimensions highlighted in the assessments, the ELED faculty have not met to consider how students’ progress </w:t>
      </w:r>
      <w:r w:rsidR="00095D36">
        <w:rPr>
          <w:sz w:val="24"/>
          <w:szCs w:val="24"/>
        </w:rPr>
        <w:t xml:space="preserve">represents the program’s ability to attend to its guiding principles and practices. </w:t>
      </w:r>
      <w:r>
        <w:rPr>
          <w:sz w:val="24"/>
          <w:szCs w:val="24"/>
        </w:rPr>
        <w:t xml:space="preserve">Another challenge </w:t>
      </w:r>
      <w:r w:rsidR="00095D36">
        <w:rPr>
          <w:sz w:val="24"/>
          <w:szCs w:val="24"/>
        </w:rPr>
        <w:t xml:space="preserve">with our three program assessments is that they over-burden specific courses and assignments in </w:t>
      </w:r>
      <w:r>
        <w:rPr>
          <w:sz w:val="24"/>
          <w:szCs w:val="24"/>
        </w:rPr>
        <w:t xml:space="preserve">ELED 370 and ELED 481 with an overly-cumbersome program assessment. </w:t>
      </w:r>
      <w:r w:rsidR="003C7B65" w:rsidRPr="003C7B65">
        <w:rPr>
          <w:sz w:val="24"/>
          <w:szCs w:val="24"/>
        </w:rPr>
        <w:t xml:space="preserve">Currently, the edTPA, being a more comprehensive and longitudinal assessment, has the capacity to assess many/most of our program outcomes, but the earlier progress points and their assignments are not adequate to truly assess candidates’ developmental progress toward these outcomes.  </w:t>
      </w:r>
      <w:r>
        <w:rPr>
          <w:sz w:val="24"/>
          <w:szCs w:val="24"/>
        </w:rPr>
        <w:t>In 201</w:t>
      </w:r>
      <w:r w:rsidR="0053303D">
        <w:rPr>
          <w:sz w:val="24"/>
          <w:szCs w:val="24"/>
        </w:rPr>
        <w:t>8</w:t>
      </w:r>
      <w:r>
        <w:rPr>
          <w:sz w:val="24"/>
          <w:szCs w:val="24"/>
        </w:rPr>
        <w:t>, we plan to continue to</w:t>
      </w:r>
      <w:r w:rsidR="00095D36">
        <w:rPr>
          <w:sz w:val="24"/>
          <w:szCs w:val="24"/>
        </w:rPr>
        <w:t xml:space="preserve"> revisit and</w:t>
      </w:r>
      <w:r>
        <w:rPr>
          <w:sz w:val="24"/>
          <w:szCs w:val="24"/>
        </w:rPr>
        <w:t xml:space="preserve"> revise these program assessments to consider </w:t>
      </w:r>
      <w:r w:rsidR="00095D36">
        <w:rPr>
          <w:sz w:val="24"/>
          <w:szCs w:val="24"/>
        </w:rPr>
        <w:t>clustering a series of assignments in the early and middle of the program to better</w:t>
      </w:r>
      <w:r>
        <w:rPr>
          <w:sz w:val="24"/>
          <w:szCs w:val="24"/>
        </w:rPr>
        <w:t xml:space="preserve"> determi</w:t>
      </w:r>
      <w:r w:rsidR="00095D36">
        <w:rPr>
          <w:sz w:val="24"/>
          <w:szCs w:val="24"/>
        </w:rPr>
        <w:t>ne</w:t>
      </w:r>
      <w:r>
        <w:rPr>
          <w:sz w:val="24"/>
          <w:szCs w:val="24"/>
        </w:rPr>
        <w:t xml:space="preserve"> students’ progress toward the program outcomes</w:t>
      </w:r>
      <w:r w:rsidR="00095D36">
        <w:rPr>
          <w:sz w:val="24"/>
          <w:szCs w:val="24"/>
        </w:rPr>
        <w:t xml:space="preserve"> </w:t>
      </w:r>
      <w:r w:rsidR="00095D36" w:rsidRPr="00095D36">
        <w:rPr>
          <w:sz w:val="24"/>
          <w:szCs w:val="24"/>
        </w:rPr>
        <w:t>(</w:t>
      </w:r>
      <w:r w:rsidR="00095D36">
        <w:rPr>
          <w:sz w:val="24"/>
          <w:szCs w:val="24"/>
        </w:rPr>
        <w:t xml:space="preserve">and </w:t>
      </w:r>
      <w:r w:rsidR="00095D36" w:rsidRPr="00095D36">
        <w:rPr>
          <w:sz w:val="24"/>
          <w:szCs w:val="24"/>
        </w:rPr>
        <w:t>leav</w:t>
      </w:r>
      <w:r w:rsidR="00095D36">
        <w:rPr>
          <w:sz w:val="24"/>
          <w:szCs w:val="24"/>
        </w:rPr>
        <w:t>e the</w:t>
      </w:r>
      <w:r w:rsidR="00095D36" w:rsidRPr="00095D36">
        <w:rPr>
          <w:sz w:val="24"/>
          <w:szCs w:val="24"/>
        </w:rPr>
        <w:t xml:space="preserve"> edTPA to assess the candidates’ progress late-program</w:t>
      </w:r>
      <w:r w:rsidR="00095D36">
        <w:rPr>
          <w:sz w:val="24"/>
          <w:szCs w:val="24"/>
        </w:rPr>
        <w:t xml:space="preserve"> due to its multiple dimensions and connections to our program’s existing goals</w:t>
      </w:r>
      <w:r w:rsidR="00095D36" w:rsidRPr="00095D36">
        <w:rPr>
          <w:sz w:val="24"/>
          <w:szCs w:val="24"/>
        </w:rPr>
        <w:t>)</w:t>
      </w:r>
      <w:r>
        <w:rPr>
          <w:sz w:val="24"/>
          <w:szCs w:val="24"/>
        </w:rPr>
        <w:t xml:space="preserve">. </w:t>
      </w:r>
    </w:p>
    <w:p w:rsidR="001A6840" w:rsidRDefault="001A6840" w:rsidP="009E122F">
      <w:pPr>
        <w:pStyle w:val="ListParagraph"/>
        <w:ind w:left="360"/>
        <w:rPr>
          <w:sz w:val="24"/>
          <w:szCs w:val="24"/>
        </w:rPr>
      </w:pPr>
    </w:p>
    <w:p w:rsidR="009E122F" w:rsidRDefault="009E122F" w:rsidP="009E122F">
      <w:pPr>
        <w:pStyle w:val="ListParagraph"/>
        <w:numPr>
          <w:ilvl w:val="0"/>
          <w:numId w:val="1"/>
        </w:numPr>
        <w:rPr>
          <w:b/>
          <w:sz w:val="24"/>
          <w:szCs w:val="24"/>
        </w:rPr>
      </w:pPr>
      <w:r w:rsidRPr="009E122F">
        <w:rPr>
          <w:b/>
          <w:sz w:val="24"/>
          <w:szCs w:val="24"/>
        </w:rPr>
        <w:t>2017 Admissions</w:t>
      </w:r>
      <w:r w:rsidR="008F1277">
        <w:rPr>
          <w:b/>
          <w:sz w:val="24"/>
          <w:szCs w:val="24"/>
        </w:rPr>
        <w:t xml:space="preserve"> and Endorsement</w:t>
      </w:r>
      <w:r w:rsidRPr="009E122F">
        <w:rPr>
          <w:b/>
          <w:sz w:val="24"/>
          <w:szCs w:val="24"/>
        </w:rPr>
        <w:t xml:space="preserve"> Data</w:t>
      </w:r>
    </w:p>
    <w:tbl>
      <w:tblPr>
        <w:tblW w:w="7146" w:type="dxa"/>
        <w:tblInd w:w="630" w:type="dxa"/>
        <w:tblLook w:val="04A0" w:firstRow="1" w:lastRow="0" w:firstColumn="1" w:lastColumn="0" w:noHBand="0" w:noVBand="1"/>
      </w:tblPr>
      <w:tblGrid>
        <w:gridCol w:w="5416"/>
        <w:gridCol w:w="1180"/>
        <w:gridCol w:w="1180"/>
      </w:tblGrid>
      <w:tr w:rsidR="000C2BBB" w:rsidRPr="000C2BBB" w:rsidTr="005E53B5">
        <w:trPr>
          <w:trHeight w:val="288"/>
        </w:trPr>
        <w:tc>
          <w:tcPr>
            <w:tcW w:w="4786" w:type="dxa"/>
            <w:tcBorders>
              <w:top w:val="nil"/>
              <w:left w:val="nil"/>
              <w:bottom w:val="single" w:sz="4" w:space="0" w:color="9BC2E6"/>
              <w:right w:val="nil"/>
            </w:tcBorders>
            <w:shd w:val="clear" w:color="DDEBF7" w:fill="DDEBF7"/>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Admissions </w:t>
            </w:r>
            <w:r w:rsidRPr="000C2BBB">
              <w:rPr>
                <w:rFonts w:ascii="Calibri" w:eastAsia="Times New Roman" w:hAnsi="Calibri" w:cs="Times New Roman"/>
                <w:b/>
                <w:bCs/>
                <w:color w:val="000000"/>
                <w:sz w:val="20"/>
                <w:szCs w:val="20"/>
              </w:rPr>
              <w:t>Demographics</w:t>
            </w:r>
          </w:p>
        </w:tc>
        <w:tc>
          <w:tcPr>
            <w:tcW w:w="1180" w:type="dxa"/>
            <w:tcBorders>
              <w:top w:val="nil"/>
              <w:left w:val="nil"/>
              <w:bottom w:val="single" w:sz="4" w:space="0" w:color="9BC2E6"/>
              <w:right w:val="nil"/>
            </w:tcBorders>
            <w:shd w:val="clear" w:color="DDEBF7" w:fill="DDEBF7"/>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Count</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Average</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Asian</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5</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5.20%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Asian and White race only</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3</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3.20%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Black and White race only</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1</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1.00%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Hispanic, no race</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4</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4.10%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 xml:space="preserve">Hispanic, </w:t>
            </w:r>
            <w:proofErr w:type="gramStart"/>
            <w:r w:rsidRPr="000C2BBB">
              <w:rPr>
                <w:rFonts w:ascii="Calibri" w:eastAsia="Times New Roman" w:hAnsi="Calibri" w:cs="Times New Roman"/>
                <w:color w:val="000000"/>
                <w:sz w:val="20"/>
                <w:szCs w:val="20"/>
              </w:rPr>
              <w:t>Other</w:t>
            </w:r>
            <w:proofErr w:type="gramEnd"/>
            <w:r w:rsidRPr="000C2BBB">
              <w:rPr>
                <w:rFonts w:ascii="Calibri" w:eastAsia="Times New Roman" w:hAnsi="Calibri" w:cs="Times New Roman"/>
                <w:color w:val="000000"/>
                <w:sz w:val="20"/>
                <w:szCs w:val="20"/>
              </w:rPr>
              <w:t xml:space="preserve"> race(s), not White only</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2</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2.10%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Hispanic, White race only</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7</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7.40%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White</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73</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77.00%</w:t>
            </w:r>
          </w:p>
        </w:tc>
      </w:tr>
      <w:tr w:rsidR="000C2BBB" w:rsidRPr="000C2BBB" w:rsidTr="005E53B5">
        <w:trPr>
          <w:trHeight w:val="288"/>
        </w:trPr>
        <w:tc>
          <w:tcPr>
            <w:tcW w:w="4786" w:type="dxa"/>
            <w:tcBorders>
              <w:top w:val="single" w:sz="4" w:space="0" w:color="9BC2E6"/>
              <w:left w:val="nil"/>
              <w:bottom w:val="nil"/>
              <w:right w:val="nil"/>
            </w:tcBorders>
            <w:shd w:val="clear" w:color="DDEBF7" w:fill="DDEBF7"/>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Grand Total</w:t>
            </w:r>
          </w:p>
        </w:tc>
        <w:tc>
          <w:tcPr>
            <w:tcW w:w="1180" w:type="dxa"/>
            <w:tcBorders>
              <w:top w:val="single" w:sz="4" w:space="0" w:color="9BC2E6"/>
              <w:left w:val="nil"/>
              <w:bottom w:val="nil"/>
              <w:right w:val="nil"/>
            </w:tcBorders>
            <w:shd w:val="clear" w:color="DDEBF7" w:fill="DDEBF7"/>
            <w:noWrap/>
            <w:vAlign w:val="bottom"/>
            <w:hideMark/>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95</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color w:val="000000"/>
                <w:sz w:val="20"/>
                <w:szCs w:val="20"/>
              </w:rPr>
            </w:pPr>
            <w:r w:rsidRPr="000C2BBB">
              <w:rPr>
                <w:rFonts w:ascii="Calibri" w:eastAsia="Times New Roman" w:hAnsi="Calibri" w:cs="Times New Roman"/>
                <w:color w:val="000000"/>
                <w:sz w:val="20"/>
                <w:szCs w:val="20"/>
              </w:rPr>
              <w:t>100.00%</w:t>
            </w: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Percentage of Admits:</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Times New Roman" w:eastAsia="Times New Roman" w:hAnsi="Times New Roman" w:cs="Times New Roman"/>
                <w:sz w:val="20"/>
                <w:szCs w:val="20"/>
              </w:rPr>
            </w:pP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Students of Color</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23.00%</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p>
        </w:tc>
      </w:tr>
      <w:tr w:rsidR="000C2BBB" w:rsidRPr="000C2BBB" w:rsidTr="005E53B5">
        <w:trPr>
          <w:trHeight w:val="288"/>
        </w:trPr>
        <w:tc>
          <w:tcPr>
            <w:tcW w:w="4786"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Male</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r w:rsidRPr="000C2BBB">
              <w:rPr>
                <w:rFonts w:ascii="Calibri" w:eastAsia="Times New Roman" w:hAnsi="Calibri" w:cs="Times New Roman"/>
                <w:b/>
                <w:bCs/>
                <w:color w:val="000000"/>
                <w:sz w:val="20"/>
                <w:szCs w:val="20"/>
              </w:rPr>
              <w:t>14.73%</w:t>
            </w:r>
          </w:p>
        </w:tc>
        <w:tc>
          <w:tcPr>
            <w:tcW w:w="1180" w:type="dxa"/>
            <w:tcBorders>
              <w:top w:val="nil"/>
              <w:left w:val="nil"/>
              <w:bottom w:val="nil"/>
              <w:right w:val="nil"/>
            </w:tcBorders>
            <w:shd w:val="clear" w:color="auto" w:fill="auto"/>
            <w:noWrap/>
            <w:vAlign w:val="bottom"/>
            <w:hideMark/>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p>
        </w:tc>
      </w:tr>
      <w:tr w:rsidR="000C2BBB" w:rsidRPr="000C2BBB" w:rsidTr="005E53B5">
        <w:trPr>
          <w:trHeight w:val="288"/>
        </w:trPr>
        <w:tc>
          <w:tcPr>
            <w:tcW w:w="4786" w:type="dxa"/>
            <w:tcBorders>
              <w:top w:val="nil"/>
              <w:left w:val="nil"/>
              <w:bottom w:val="nil"/>
              <w:right w:val="nil"/>
            </w:tcBorders>
            <w:shd w:val="clear" w:color="auto" w:fill="auto"/>
            <w:noWrap/>
            <w:vAlign w:val="bottom"/>
          </w:tcPr>
          <w:p w:rsidR="000C2BBB" w:rsidRDefault="000C2BBB" w:rsidP="00204C0F">
            <w:pPr>
              <w:spacing w:after="0" w:line="240" w:lineRule="auto"/>
              <w:rPr>
                <w:rFonts w:ascii="Calibri" w:eastAsia="Times New Roman" w:hAnsi="Calibri" w:cs="Times New Roman"/>
                <w:b/>
                <w:bCs/>
                <w:color w:val="000000"/>
                <w:sz w:val="20"/>
                <w:szCs w:val="20"/>
              </w:rPr>
            </w:pPr>
          </w:p>
          <w:p w:rsidR="005E53B5" w:rsidRDefault="005E53B5" w:rsidP="00204C0F">
            <w:pPr>
              <w:spacing w:after="0" w:line="240" w:lineRule="auto"/>
              <w:rPr>
                <w:rFonts w:ascii="Calibri" w:eastAsia="Times New Roman" w:hAnsi="Calibri" w:cs="Times New Roman"/>
                <w:b/>
                <w:bCs/>
                <w:color w:val="000000"/>
                <w:sz w:val="20"/>
                <w:szCs w:val="20"/>
              </w:rPr>
            </w:pPr>
            <w:r w:rsidRPr="005E53B5">
              <w:rPr>
                <w:rFonts w:ascii="Calibri" w:eastAsia="Times New Roman" w:hAnsi="Calibri" w:cs="Times New Roman"/>
                <w:b/>
                <w:bCs/>
                <w:color w:val="000000"/>
                <w:sz w:val="20"/>
                <w:szCs w:val="20"/>
              </w:rPr>
              <w:t>Out of the 95 admitted students, 4 were PBs, and 91 were UG. 30 of the 91 undergrads declared the LLC major.</w:t>
            </w:r>
          </w:p>
          <w:p w:rsidR="005E53B5" w:rsidRDefault="005E53B5" w:rsidP="00204C0F">
            <w:pPr>
              <w:spacing w:after="0" w:line="240" w:lineRule="auto"/>
              <w:rPr>
                <w:rFonts w:ascii="Calibri" w:eastAsia="Times New Roman" w:hAnsi="Calibri" w:cs="Times New Roman"/>
                <w:b/>
                <w:bCs/>
                <w:color w:val="000000"/>
                <w:sz w:val="20"/>
                <w:szCs w:val="20"/>
              </w:rPr>
            </w:pPr>
          </w:p>
          <w:tbl>
            <w:tblPr>
              <w:tblW w:w="5200" w:type="dxa"/>
              <w:tblCellMar>
                <w:left w:w="0" w:type="dxa"/>
                <w:right w:w="0" w:type="dxa"/>
              </w:tblCellMar>
              <w:tblLook w:val="04A0" w:firstRow="1" w:lastRow="0" w:firstColumn="1" w:lastColumn="0" w:noHBand="0" w:noVBand="1"/>
            </w:tblPr>
            <w:tblGrid>
              <w:gridCol w:w="2160"/>
              <w:gridCol w:w="3040"/>
            </w:tblGrid>
            <w:tr w:rsidR="000C2BBB" w:rsidTr="000C2BBB">
              <w:trPr>
                <w:trHeight w:val="300"/>
              </w:trPr>
              <w:tc>
                <w:tcPr>
                  <w:tcW w:w="216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0C2BBB" w:rsidRDefault="000C2BBB" w:rsidP="000C2BBB">
                  <w:pPr>
                    <w:rPr>
                      <w:rFonts w:ascii="Calibri" w:hAnsi="Calibri"/>
                      <w:b/>
                      <w:bCs/>
                      <w:color w:val="000000"/>
                    </w:rPr>
                  </w:pPr>
                  <w:r>
                    <w:rPr>
                      <w:rFonts w:ascii="Calibri" w:hAnsi="Calibri"/>
                      <w:b/>
                      <w:bCs/>
                      <w:color w:val="000000"/>
                    </w:rPr>
                    <w:t>Endorsements</w:t>
                  </w:r>
                </w:p>
              </w:tc>
              <w:tc>
                <w:tcPr>
                  <w:tcW w:w="304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0C2BBB" w:rsidRDefault="000C2BBB" w:rsidP="000C2BBB">
                  <w:pPr>
                    <w:rPr>
                      <w:rFonts w:ascii="Calibri" w:hAnsi="Calibri"/>
                      <w:b/>
                      <w:bCs/>
                      <w:color w:val="000000"/>
                    </w:rPr>
                  </w:pPr>
                </w:p>
              </w:tc>
            </w:tr>
            <w:tr w:rsidR="000C2BBB" w:rsidTr="005E53B5">
              <w:trPr>
                <w:trHeight w:val="20"/>
              </w:trPr>
              <w:tc>
                <w:tcPr>
                  <w:tcW w:w="2160" w:type="dxa"/>
                  <w:noWrap/>
                  <w:tcMar>
                    <w:top w:w="0" w:type="dxa"/>
                    <w:left w:w="108" w:type="dxa"/>
                    <w:bottom w:w="0" w:type="dxa"/>
                    <w:right w:w="108" w:type="dxa"/>
                  </w:tcMar>
                  <w:vAlign w:val="bottom"/>
                  <w:hideMark/>
                </w:tcPr>
                <w:p w:rsidR="000C2BBB" w:rsidRPr="005E53B5" w:rsidRDefault="000C2BBB" w:rsidP="005E53B5">
                  <w:pPr>
                    <w:spacing w:after="0"/>
                    <w:rPr>
                      <w:rFonts w:ascii="Calibri" w:hAnsi="Calibri"/>
                      <w:color w:val="000000"/>
                      <w:sz w:val="20"/>
                      <w:szCs w:val="20"/>
                    </w:rPr>
                  </w:pPr>
                  <w:r w:rsidRPr="005E53B5">
                    <w:rPr>
                      <w:rFonts w:ascii="Calibri" w:hAnsi="Calibri"/>
                      <w:color w:val="000000"/>
                      <w:sz w:val="20"/>
                      <w:szCs w:val="20"/>
                    </w:rPr>
                    <w:t xml:space="preserve">Elementary </w:t>
                  </w:r>
                </w:p>
              </w:tc>
              <w:tc>
                <w:tcPr>
                  <w:tcW w:w="3040" w:type="dxa"/>
                  <w:noWrap/>
                  <w:tcMar>
                    <w:top w:w="0" w:type="dxa"/>
                    <w:left w:w="108" w:type="dxa"/>
                    <w:bottom w:w="0" w:type="dxa"/>
                    <w:right w:w="108" w:type="dxa"/>
                  </w:tcMar>
                  <w:vAlign w:val="bottom"/>
                  <w:hideMark/>
                </w:tcPr>
                <w:p w:rsidR="000C2BBB" w:rsidRPr="005E53B5" w:rsidRDefault="000C2BBB" w:rsidP="005E53B5">
                  <w:pPr>
                    <w:spacing w:after="0"/>
                    <w:jc w:val="right"/>
                    <w:rPr>
                      <w:rFonts w:ascii="Calibri" w:hAnsi="Calibri"/>
                      <w:color w:val="000000"/>
                      <w:sz w:val="20"/>
                      <w:szCs w:val="20"/>
                    </w:rPr>
                  </w:pPr>
                  <w:r w:rsidRPr="005E53B5">
                    <w:rPr>
                      <w:rFonts w:ascii="Calibri" w:hAnsi="Calibri"/>
                      <w:color w:val="000000"/>
                      <w:sz w:val="20"/>
                      <w:szCs w:val="20"/>
                    </w:rPr>
                    <w:t>80</w:t>
                  </w:r>
                </w:p>
              </w:tc>
            </w:tr>
            <w:tr w:rsidR="000C2BBB" w:rsidTr="005E53B5">
              <w:trPr>
                <w:trHeight w:val="20"/>
              </w:trPr>
              <w:tc>
                <w:tcPr>
                  <w:tcW w:w="2160" w:type="dxa"/>
                  <w:noWrap/>
                  <w:tcMar>
                    <w:top w:w="0" w:type="dxa"/>
                    <w:left w:w="108" w:type="dxa"/>
                    <w:bottom w:w="0" w:type="dxa"/>
                    <w:right w:w="108" w:type="dxa"/>
                  </w:tcMar>
                  <w:vAlign w:val="bottom"/>
                  <w:hideMark/>
                </w:tcPr>
                <w:p w:rsidR="000C2BBB" w:rsidRPr="005E53B5" w:rsidRDefault="000C2BBB" w:rsidP="005E53B5">
                  <w:pPr>
                    <w:spacing w:after="0"/>
                    <w:rPr>
                      <w:rFonts w:ascii="Calibri" w:hAnsi="Calibri"/>
                      <w:color w:val="000000"/>
                      <w:sz w:val="20"/>
                      <w:szCs w:val="20"/>
                    </w:rPr>
                  </w:pPr>
                  <w:r w:rsidRPr="005E53B5">
                    <w:rPr>
                      <w:rFonts w:ascii="Calibri" w:hAnsi="Calibri"/>
                      <w:color w:val="000000"/>
                      <w:sz w:val="20"/>
                      <w:szCs w:val="20"/>
                    </w:rPr>
                    <w:t>English Lang Learners</w:t>
                  </w:r>
                </w:p>
              </w:tc>
              <w:tc>
                <w:tcPr>
                  <w:tcW w:w="3040" w:type="dxa"/>
                  <w:noWrap/>
                  <w:tcMar>
                    <w:top w:w="0" w:type="dxa"/>
                    <w:left w:w="108" w:type="dxa"/>
                    <w:bottom w:w="0" w:type="dxa"/>
                    <w:right w:w="108" w:type="dxa"/>
                  </w:tcMar>
                  <w:vAlign w:val="bottom"/>
                  <w:hideMark/>
                </w:tcPr>
                <w:p w:rsidR="000C2BBB" w:rsidRPr="005E53B5" w:rsidRDefault="000C2BBB" w:rsidP="005E53B5">
                  <w:pPr>
                    <w:spacing w:after="0"/>
                    <w:jc w:val="right"/>
                    <w:rPr>
                      <w:rFonts w:ascii="Calibri" w:hAnsi="Calibri"/>
                      <w:color w:val="000000"/>
                      <w:sz w:val="20"/>
                      <w:szCs w:val="20"/>
                    </w:rPr>
                  </w:pPr>
                  <w:r w:rsidRPr="005E53B5">
                    <w:rPr>
                      <w:rFonts w:ascii="Calibri" w:hAnsi="Calibri"/>
                      <w:color w:val="000000"/>
                      <w:sz w:val="20"/>
                      <w:szCs w:val="20"/>
                    </w:rPr>
                    <w:t>35</w:t>
                  </w:r>
                </w:p>
              </w:tc>
            </w:tr>
            <w:tr w:rsidR="000C2BBB" w:rsidTr="005E53B5">
              <w:trPr>
                <w:trHeight w:val="20"/>
              </w:trPr>
              <w:tc>
                <w:tcPr>
                  <w:tcW w:w="2160" w:type="dxa"/>
                  <w:noWrap/>
                  <w:tcMar>
                    <w:top w:w="0" w:type="dxa"/>
                    <w:left w:w="108" w:type="dxa"/>
                    <w:bottom w:w="0" w:type="dxa"/>
                    <w:right w:w="108" w:type="dxa"/>
                  </w:tcMar>
                  <w:vAlign w:val="bottom"/>
                  <w:hideMark/>
                </w:tcPr>
                <w:p w:rsidR="000C2BBB" w:rsidRPr="005E53B5" w:rsidRDefault="000C2BBB" w:rsidP="005E53B5">
                  <w:pPr>
                    <w:spacing w:after="0"/>
                    <w:rPr>
                      <w:rFonts w:ascii="Calibri" w:hAnsi="Calibri"/>
                      <w:color w:val="000000"/>
                      <w:sz w:val="20"/>
                      <w:szCs w:val="20"/>
                    </w:rPr>
                  </w:pPr>
                  <w:r w:rsidRPr="005E53B5">
                    <w:rPr>
                      <w:rFonts w:ascii="Calibri" w:hAnsi="Calibri"/>
                      <w:color w:val="000000"/>
                      <w:sz w:val="20"/>
                      <w:szCs w:val="20"/>
                    </w:rPr>
                    <w:t>Mathematics</w:t>
                  </w:r>
                </w:p>
              </w:tc>
              <w:tc>
                <w:tcPr>
                  <w:tcW w:w="3040" w:type="dxa"/>
                  <w:noWrap/>
                  <w:tcMar>
                    <w:top w:w="0" w:type="dxa"/>
                    <w:left w:w="108" w:type="dxa"/>
                    <w:bottom w:w="0" w:type="dxa"/>
                    <w:right w:w="108" w:type="dxa"/>
                  </w:tcMar>
                  <w:vAlign w:val="bottom"/>
                  <w:hideMark/>
                </w:tcPr>
                <w:p w:rsidR="000C2BBB" w:rsidRPr="005E53B5" w:rsidRDefault="000C2BBB" w:rsidP="005E53B5">
                  <w:pPr>
                    <w:spacing w:after="0"/>
                    <w:jc w:val="right"/>
                    <w:rPr>
                      <w:rFonts w:ascii="Calibri" w:hAnsi="Calibri"/>
                      <w:color w:val="000000"/>
                      <w:sz w:val="20"/>
                      <w:szCs w:val="20"/>
                    </w:rPr>
                  </w:pPr>
                  <w:r w:rsidRPr="005E53B5">
                    <w:rPr>
                      <w:rFonts w:ascii="Calibri" w:hAnsi="Calibri"/>
                      <w:color w:val="000000"/>
                      <w:sz w:val="20"/>
                      <w:szCs w:val="20"/>
                    </w:rPr>
                    <w:t>2</w:t>
                  </w:r>
                </w:p>
              </w:tc>
            </w:tr>
            <w:tr w:rsidR="000C2BBB" w:rsidTr="005E53B5">
              <w:trPr>
                <w:trHeight w:val="20"/>
              </w:trPr>
              <w:tc>
                <w:tcPr>
                  <w:tcW w:w="2160" w:type="dxa"/>
                  <w:noWrap/>
                  <w:tcMar>
                    <w:top w:w="0" w:type="dxa"/>
                    <w:left w:w="108" w:type="dxa"/>
                    <w:bottom w:w="0" w:type="dxa"/>
                    <w:right w:w="108" w:type="dxa"/>
                  </w:tcMar>
                  <w:vAlign w:val="bottom"/>
                  <w:hideMark/>
                </w:tcPr>
                <w:p w:rsidR="000C2BBB" w:rsidRPr="005E53B5" w:rsidRDefault="000C2BBB" w:rsidP="005E53B5">
                  <w:pPr>
                    <w:spacing w:after="0"/>
                    <w:rPr>
                      <w:rFonts w:ascii="Calibri" w:hAnsi="Calibri"/>
                      <w:color w:val="000000"/>
                      <w:sz w:val="20"/>
                      <w:szCs w:val="20"/>
                    </w:rPr>
                  </w:pPr>
                  <w:r w:rsidRPr="005E53B5">
                    <w:rPr>
                      <w:rFonts w:ascii="Calibri" w:hAnsi="Calibri"/>
                      <w:color w:val="000000"/>
                      <w:sz w:val="20"/>
                      <w:szCs w:val="20"/>
                    </w:rPr>
                    <w:t>Reading</w:t>
                  </w:r>
                </w:p>
              </w:tc>
              <w:tc>
                <w:tcPr>
                  <w:tcW w:w="3040" w:type="dxa"/>
                  <w:noWrap/>
                  <w:tcMar>
                    <w:top w:w="0" w:type="dxa"/>
                    <w:left w:w="108" w:type="dxa"/>
                    <w:bottom w:w="0" w:type="dxa"/>
                    <w:right w:w="108" w:type="dxa"/>
                  </w:tcMar>
                  <w:vAlign w:val="bottom"/>
                  <w:hideMark/>
                </w:tcPr>
                <w:p w:rsidR="000C2BBB" w:rsidRPr="005E53B5" w:rsidRDefault="000C2BBB" w:rsidP="005E53B5">
                  <w:pPr>
                    <w:spacing w:after="0"/>
                    <w:jc w:val="right"/>
                    <w:rPr>
                      <w:rFonts w:ascii="Calibri" w:hAnsi="Calibri"/>
                      <w:color w:val="000000"/>
                      <w:sz w:val="20"/>
                      <w:szCs w:val="20"/>
                    </w:rPr>
                  </w:pPr>
                  <w:r w:rsidRPr="005E53B5">
                    <w:rPr>
                      <w:rFonts w:ascii="Calibri" w:hAnsi="Calibri"/>
                      <w:color w:val="000000"/>
                      <w:sz w:val="20"/>
                      <w:szCs w:val="20"/>
                    </w:rPr>
                    <w:t>34</w:t>
                  </w:r>
                </w:p>
              </w:tc>
            </w:tr>
            <w:tr w:rsidR="000C2BBB" w:rsidTr="000C2BBB">
              <w:trPr>
                <w:trHeight w:val="300"/>
              </w:trPr>
              <w:tc>
                <w:tcPr>
                  <w:tcW w:w="216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rsidR="000C2BBB" w:rsidRDefault="000C2BBB" w:rsidP="000C2BBB">
                  <w:pPr>
                    <w:rPr>
                      <w:rFonts w:ascii="Calibri" w:hAnsi="Calibri"/>
                      <w:b/>
                      <w:bCs/>
                      <w:color w:val="000000"/>
                    </w:rPr>
                  </w:pPr>
                  <w:r>
                    <w:rPr>
                      <w:rFonts w:ascii="Calibri" w:hAnsi="Calibri"/>
                      <w:b/>
                      <w:bCs/>
                      <w:color w:val="000000"/>
                    </w:rPr>
                    <w:t>Grand Total</w:t>
                  </w:r>
                </w:p>
              </w:tc>
              <w:tc>
                <w:tcPr>
                  <w:tcW w:w="304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rsidR="000C2BBB" w:rsidRDefault="000C2BBB" w:rsidP="000C2BBB">
                  <w:pPr>
                    <w:jc w:val="right"/>
                    <w:rPr>
                      <w:rFonts w:ascii="Calibri" w:hAnsi="Calibri"/>
                      <w:b/>
                      <w:bCs/>
                      <w:color w:val="000000"/>
                    </w:rPr>
                  </w:pPr>
                  <w:r>
                    <w:rPr>
                      <w:rFonts w:ascii="Calibri" w:hAnsi="Calibri"/>
                      <w:b/>
                      <w:bCs/>
                      <w:color w:val="000000"/>
                    </w:rPr>
                    <w:t>151</w:t>
                  </w:r>
                </w:p>
              </w:tc>
            </w:tr>
          </w:tbl>
          <w:p w:rsidR="000C2BBB" w:rsidRPr="000C2BBB" w:rsidRDefault="000C2BBB" w:rsidP="00204C0F">
            <w:pPr>
              <w:spacing w:after="0" w:line="240" w:lineRule="auto"/>
              <w:rPr>
                <w:rFonts w:ascii="Calibri" w:eastAsia="Times New Roman" w:hAnsi="Calibri" w:cs="Times New Roman"/>
                <w:b/>
                <w:bCs/>
                <w:color w:val="000000"/>
                <w:sz w:val="20"/>
                <w:szCs w:val="20"/>
              </w:rPr>
            </w:pPr>
          </w:p>
        </w:tc>
        <w:tc>
          <w:tcPr>
            <w:tcW w:w="1180" w:type="dxa"/>
            <w:tcBorders>
              <w:top w:val="nil"/>
              <w:left w:val="nil"/>
              <w:bottom w:val="nil"/>
              <w:right w:val="nil"/>
            </w:tcBorders>
            <w:shd w:val="clear" w:color="auto" w:fill="auto"/>
            <w:noWrap/>
            <w:vAlign w:val="bottom"/>
          </w:tcPr>
          <w:p w:rsidR="000C2BBB" w:rsidRDefault="000C2BBB" w:rsidP="00204C0F">
            <w:pPr>
              <w:spacing w:after="0" w:line="240" w:lineRule="auto"/>
              <w:jc w:val="right"/>
              <w:rPr>
                <w:rFonts w:ascii="Calibri" w:eastAsia="Times New Roman" w:hAnsi="Calibri" w:cs="Times New Roman"/>
                <w:b/>
                <w:bCs/>
                <w:color w:val="000000"/>
                <w:sz w:val="20"/>
                <w:szCs w:val="20"/>
              </w:rPr>
            </w:pPr>
          </w:p>
          <w:p w:rsidR="005E53B5" w:rsidRDefault="005E53B5" w:rsidP="00204C0F">
            <w:pPr>
              <w:spacing w:after="0" w:line="240" w:lineRule="auto"/>
              <w:jc w:val="right"/>
              <w:rPr>
                <w:rFonts w:ascii="Calibri" w:eastAsia="Times New Roman" w:hAnsi="Calibri" w:cs="Times New Roman"/>
                <w:b/>
                <w:bCs/>
                <w:color w:val="000000"/>
                <w:sz w:val="20"/>
                <w:szCs w:val="20"/>
              </w:rPr>
            </w:pPr>
          </w:p>
          <w:p w:rsidR="005E53B5" w:rsidRPr="000C2BBB" w:rsidRDefault="005E53B5" w:rsidP="00204C0F">
            <w:pPr>
              <w:spacing w:after="0" w:line="240" w:lineRule="auto"/>
              <w:jc w:val="right"/>
              <w:rPr>
                <w:rFonts w:ascii="Calibri" w:eastAsia="Times New Roman" w:hAnsi="Calibri" w:cs="Times New Roman"/>
                <w:b/>
                <w:bCs/>
                <w:color w:val="000000"/>
                <w:sz w:val="20"/>
                <w:szCs w:val="20"/>
              </w:rPr>
            </w:pPr>
          </w:p>
        </w:tc>
        <w:tc>
          <w:tcPr>
            <w:tcW w:w="1180" w:type="dxa"/>
            <w:tcBorders>
              <w:top w:val="nil"/>
              <w:left w:val="nil"/>
              <w:bottom w:val="nil"/>
              <w:right w:val="nil"/>
            </w:tcBorders>
            <w:shd w:val="clear" w:color="auto" w:fill="auto"/>
            <w:noWrap/>
            <w:vAlign w:val="bottom"/>
          </w:tcPr>
          <w:p w:rsidR="000C2BBB" w:rsidRPr="000C2BBB" w:rsidRDefault="000C2BBB" w:rsidP="00204C0F">
            <w:pPr>
              <w:spacing w:after="0" w:line="240" w:lineRule="auto"/>
              <w:jc w:val="right"/>
              <w:rPr>
                <w:rFonts w:ascii="Calibri" w:eastAsia="Times New Roman" w:hAnsi="Calibri" w:cs="Times New Roman"/>
                <w:b/>
                <w:bCs/>
                <w:color w:val="000000"/>
                <w:sz w:val="20"/>
                <w:szCs w:val="20"/>
              </w:rPr>
            </w:pPr>
          </w:p>
        </w:tc>
      </w:tr>
    </w:tbl>
    <w:p w:rsidR="008D5812" w:rsidRDefault="00F663D5" w:rsidP="005E53B5">
      <w:pPr>
        <w:pStyle w:val="ListParagraph"/>
        <w:spacing w:after="0" w:line="240" w:lineRule="auto"/>
        <w:ind w:left="810"/>
        <w:rPr>
          <w:sz w:val="24"/>
          <w:szCs w:val="24"/>
        </w:rPr>
      </w:pPr>
      <w:r>
        <w:rPr>
          <w:sz w:val="24"/>
          <w:szCs w:val="24"/>
        </w:rPr>
        <w:t xml:space="preserve">As indicated in the 2016 Closing the Loop report, </w:t>
      </w:r>
      <w:r w:rsidR="008D5812">
        <w:rPr>
          <w:sz w:val="24"/>
          <w:szCs w:val="24"/>
        </w:rPr>
        <w:t>the Elementary Education</w:t>
      </w:r>
      <w:r>
        <w:rPr>
          <w:sz w:val="24"/>
          <w:szCs w:val="24"/>
        </w:rPr>
        <w:t>, in Spring 2017,</w:t>
      </w:r>
      <w:r w:rsidR="008D5812">
        <w:rPr>
          <w:sz w:val="24"/>
          <w:szCs w:val="24"/>
        </w:rPr>
        <w:t xml:space="preserve"> adopted a new model for program admission as means of attending to equity</w:t>
      </w:r>
      <w:r>
        <w:rPr>
          <w:sz w:val="24"/>
          <w:szCs w:val="24"/>
        </w:rPr>
        <w:t xml:space="preserve"> and validity</w:t>
      </w:r>
      <w:r w:rsidR="008D5812">
        <w:rPr>
          <w:sz w:val="24"/>
          <w:szCs w:val="24"/>
        </w:rPr>
        <w:t xml:space="preserve"> issues in our process</w:t>
      </w:r>
      <w:r>
        <w:rPr>
          <w:sz w:val="24"/>
          <w:szCs w:val="24"/>
        </w:rPr>
        <w:t xml:space="preserve"> (privileging certain experiences and languages, uncertainties about the reliability of the essays). The current admissions process includes the following: </w:t>
      </w:r>
      <w:r w:rsidR="008D5812" w:rsidRPr="005C0DD5">
        <w:rPr>
          <w:sz w:val="24"/>
          <w:szCs w:val="24"/>
        </w:rPr>
        <w:t xml:space="preserve"> </w:t>
      </w:r>
    </w:p>
    <w:p w:rsidR="005E53B5" w:rsidRPr="005C0DD5" w:rsidRDefault="005E53B5" w:rsidP="005E53B5">
      <w:pPr>
        <w:pStyle w:val="ListParagraph"/>
        <w:spacing w:after="0" w:line="240" w:lineRule="auto"/>
        <w:ind w:left="0"/>
        <w:rPr>
          <w:sz w:val="24"/>
          <w:szCs w:val="24"/>
        </w:rPr>
      </w:pPr>
    </w:p>
    <w:p w:rsidR="008D5812" w:rsidRPr="005C0DD5" w:rsidRDefault="008D5812" w:rsidP="008D5812">
      <w:pPr>
        <w:pStyle w:val="ListParagraph"/>
        <w:numPr>
          <w:ilvl w:val="0"/>
          <w:numId w:val="9"/>
        </w:numPr>
        <w:spacing w:after="0" w:line="240" w:lineRule="auto"/>
        <w:rPr>
          <w:sz w:val="24"/>
          <w:szCs w:val="24"/>
        </w:rPr>
      </w:pPr>
      <w:r w:rsidRPr="005C0DD5">
        <w:rPr>
          <w:sz w:val="24"/>
          <w:szCs w:val="24"/>
        </w:rPr>
        <w:t>GPA requirement of 2.75</w:t>
      </w:r>
      <w:r w:rsidR="00F663D5">
        <w:rPr>
          <w:sz w:val="24"/>
          <w:szCs w:val="24"/>
        </w:rPr>
        <w:t>, with no preferential treatment for higher GPAs</w:t>
      </w:r>
    </w:p>
    <w:p w:rsidR="00F663D5" w:rsidRDefault="00F663D5" w:rsidP="00F663D5">
      <w:pPr>
        <w:pStyle w:val="ListParagraph"/>
        <w:numPr>
          <w:ilvl w:val="0"/>
          <w:numId w:val="9"/>
        </w:numPr>
        <w:spacing w:after="0" w:line="240" w:lineRule="auto"/>
        <w:rPr>
          <w:sz w:val="24"/>
          <w:szCs w:val="24"/>
        </w:rPr>
      </w:pPr>
      <w:r>
        <w:rPr>
          <w:sz w:val="24"/>
          <w:szCs w:val="24"/>
        </w:rPr>
        <w:t>Admission primarily based on seniority (no preference for WWU vs. Community College credits)</w:t>
      </w:r>
      <w:r w:rsidR="008D5812" w:rsidRPr="005C0DD5">
        <w:rPr>
          <w:sz w:val="24"/>
          <w:szCs w:val="24"/>
        </w:rPr>
        <w:t xml:space="preserve">. </w:t>
      </w:r>
    </w:p>
    <w:p w:rsidR="008D5812" w:rsidRDefault="00F663D5" w:rsidP="00F663D5">
      <w:pPr>
        <w:pStyle w:val="ListParagraph"/>
        <w:numPr>
          <w:ilvl w:val="0"/>
          <w:numId w:val="9"/>
        </w:numPr>
        <w:spacing w:after="0" w:line="240" w:lineRule="auto"/>
        <w:rPr>
          <w:sz w:val="24"/>
          <w:szCs w:val="24"/>
        </w:rPr>
      </w:pPr>
      <w:r w:rsidRPr="00F663D5">
        <w:rPr>
          <w:sz w:val="24"/>
          <w:szCs w:val="24"/>
        </w:rPr>
        <w:t xml:space="preserve">Admissions essay oriented around our guiding principle regarding </w:t>
      </w:r>
      <w:r w:rsidR="008D5812" w:rsidRPr="00F663D5">
        <w:rPr>
          <w:sz w:val="24"/>
          <w:szCs w:val="24"/>
        </w:rPr>
        <w:t>equity and diversity These changes were initiated for the Spring, 2017 admissions cycle.</w:t>
      </w:r>
    </w:p>
    <w:p w:rsidR="005E53B5" w:rsidRDefault="005E53B5" w:rsidP="005E53B5">
      <w:pPr>
        <w:spacing w:after="0" w:line="240" w:lineRule="auto"/>
        <w:rPr>
          <w:sz w:val="24"/>
          <w:szCs w:val="24"/>
        </w:rPr>
      </w:pPr>
    </w:p>
    <w:p w:rsidR="000C2BBB" w:rsidRPr="005E53B5" w:rsidRDefault="00F663D5" w:rsidP="005E53B5">
      <w:pPr>
        <w:spacing w:after="0" w:line="240" w:lineRule="auto"/>
        <w:ind w:left="720"/>
        <w:rPr>
          <w:sz w:val="24"/>
          <w:szCs w:val="24"/>
        </w:rPr>
        <w:sectPr w:rsidR="000C2BBB" w:rsidRPr="005E53B5" w:rsidSect="00ED0B70">
          <w:pgSz w:w="12240" w:h="15840"/>
          <w:pgMar w:top="432" w:right="1080" w:bottom="432" w:left="720" w:header="720" w:footer="720" w:gutter="0"/>
          <w:cols w:space="720"/>
          <w:docGrid w:linePitch="360"/>
        </w:sectPr>
      </w:pPr>
      <w:r>
        <w:rPr>
          <w:sz w:val="24"/>
          <w:szCs w:val="24"/>
        </w:rPr>
        <w:t>We have begun analyzing this new process and</w:t>
      </w:r>
      <w:r w:rsidR="00936D27">
        <w:rPr>
          <w:sz w:val="24"/>
          <w:szCs w:val="24"/>
        </w:rPr>
        <w:t>, early on, it is showing promise</w:t>
      </w:r>
      <w:r w:rsidR="005E53B5">
        <w:rPr>
          <w:sz w:val="24"/>
          <w:szCs w:val="24"/>
        </w:rPr>
        <w:t xml:space="preserve"> in terms of diverse admissions and ease of progress through the program</w:t>
      </w:r>
      <w:r w:rsidR="00936D27">
        <w:rPr>
          <w:sz w:val="24"/>
          <w:szCs w:val="24"/>
        </w:rPr>
        <w:t xml:space="preserve">. While the number of students who are not achieving at least a C-grade on ELED or major coursework has gone up (8 candidates in Fall, 2017 placed on academic probation), the </w:t>
      </w:r>
      <w:r w:rsidR="00936D27" w:rsidRPr="00936D27">
        <w:rPr>
          <w:sz w:val="24"/>
          <w:szCs w:val="24"/>
        </w:rPr>
        <w:t>new admission criteria</w:t>
      </w:r>
      <w:r w:rsidR="00936D27">
        <w:rPr>
          <w:sz w:val="24"/>
          <w:szCs w:val="24"/>
        </w:rPr>
        <w:t xml:space="preserve"> focused on existing credits created a median incoming credit amount of </w:t>
      </w:r>
      <w:r w:rsidR="005E53B5">
        <w:rPr>
          <w:sz w:val="24"/>
          <w:szCs w:val="24"/>
        </w:rPr>
        <w:t>101</w:t>
      </w:r>
      <w:r w:rsidR="00936D27">
        <w:rPr>
          <w:sz w:val="24"/>
          <w:szCs w:val="24"/>
        </w:rPr>
        <w:t xml:space="preserve"> credits for beginning candidates</w:t>
      </w:r>
      <w:r w:rsidR="00936D27" w:rsidRPr="00936D27">
        <w:rPr>
          <w:sz w:val="24"/>
          <w:szCs w:val="24"/>
        </w:rPr>
        <w:t xml:space="preserve">. The new admission process is </w:t>
      </w:r>
      <w:r w:rsidR="00936D27">
        <w:rPr>
          <w:sz w:val="24"/>
          <w:szCs w:val="24"/>
        </w:rPr>
        <w:t xml:space="preserve">now admitting candidates who are, in general, complete/almost complete with their GURs, course prerequisites, and close to major completion. This is having a very positive effect on more predictability for planning course sessions and students’ time-to-degree. We plan on continuing to investigate the costs and benefits of the new admissions process in 2018. </w:t>
      </w:r>
    </w:p>
    <w:p w:rsidR="00ED0B70" w:rsidRDefault="00ED0B70" w:rsidP="00ED0B70">
      <w:pPr>
        <w:rPr>
          <w:sz w:val="24"/>
          <w:szCs w:val="24"/>
        </w:rPr>
        <w:sectPr w:rsidR="00ED0B70" w:rsidSect="0032262A">
          <w:type w:val="continuous"/>
          <w:pgSz w:w="12240" w:h="15840"/>
          <w:pgMar w:top="432" w:right="1080" w:bottom="432" w:left="720" w:header="720" w:footer="720" w:gutter="0"/>
          <w:cols w:num="2" w:space="720"/>
          <w:docGrid w:linePitch="360"/>
        </w:sectPr>
      </w:pPr>
    </w:p>
    <w:p w:rsidR="001A6840" w:rsidRPr="001A6840" w:rsidRDefault="00C64E7D" w:rsidP="001A6840">
      <w:pPr>
        <w:pStyle w:val="ListParagraph"/>
        <w:numPr>
          <w:ilvl w:val="0"/>
          <w:numId w:val="1"/>
        </w:numPr>
        <w:rPr>
          <w:sz w:val="24"/>
          <w:szCs w:val="24"/>
        </w:rPr>
      </w:pPr>
      <w:r>
        <w:rPr>
          <w:b/>
          <w:sz w:val="24"/>
          <w:szCs w:val="24"/>
        </w:rPr>
        <w:t xml:space="preserve">Internship Evaluation System: </w:t>
      </w:r>
      <w:r w:rsidR="001A6840">
        <w:rPr>
          <w:sz w:val="24"/>
          <w:szCs w:val="24"/>
        </w:rPr>
        <w:t xml:space="preserve">In 2017, the ELED program began investigating the reliability and validity of the observation instruments/evaluation forms used during the year-long internship. </w:t>
      </w:r>
      <w:r w:rsidR="001A6840" w:rsidRPr="001A6840">
        <w:rPr>
          <w:sz w:val="24"/>
          <w:szCs w:val="24"/>
        </w:rPr>
        <w:t xml:space="preserve">Currently, the ELED program has no data regarding the validity/reliability of the evaluation forms used. There is currently no information in the CT/Supervisor training materials, use of the forms is not included in any written materials, and there is emerging anecdotal evidence from CTs and UICs about differing understanding of the expectations for interns’ success. We can infer that, at this time, the current evaluation tool is not a reliable tool for candidates’ evaluation by cooperating teachers and University Intern Coordinators. In 2018, we plan to </w:t>
      </w:r>
      <w:r w:rsidR="001A6840">
        <w:rPr>
          <w:sz w:val="24"/>
          <w:szCs w:val="24"/>
        </w:rPr>
        <w:t xml:space="preserve">seek data </w:t>
      </w:r>
      <w:r>
        <w:rPr>
          <w:sz w:val="24"/>
          <w:szCs w:val="24"/>
        </w:rPr>
        <w:t xml:space="preserve">from the Director of Assessment and Evaluation and the Office of Field Experience </w:t>
      </w:r>
      <w:r w:rsidR="001A6840">
        <w:rPr>
          <w:sz w:val="24"/>
          <w:szCs w:val="24"/>
        </w:rPr>
        <w:t>to confirm/disconfirm these concerns about rater-and-instrument reliability and, likely, to d</w:t>
      </w:r>
      <w:r w:rsidR="001A6840" w:rsidRPr="001A6840">
        <w:rPr>
          <w:sz w:val="24"/>
          <w:szCs w:val="24"/>
        </w:rPr>
        <w:t xml:space="preserve">evelop </w:t>
      </w:r>
      <w:r w:rsidR="001A6840">
        <w:rPr>
          <w:sz w:val="24"/>
          <w:szCs w:val="24"/>
        </w:rPr>
        <w:t xml:space="preserve">new intern </w:t>
      </w:r>
      <w:r w:rsidR="001A6840" w:rsidRPr="001A6840">
        <w:rPr>
          <w:sz w:val="24"/>
          <w:szCs w:val="24"/>
        </w:rPr>
        <w:t xml:space="preserve">observation instruments and create professional development support for their use by cooperating teachers and clinical supervisors. </w:t>
      </w:r>
    </w:p>
    <w:p w:rsidR="00C64E7D" w:rsidRPr="001A6840" w:rsidRDefault="00C64E7D" w:rsidP="001A6840">
      <w:pPr>
        <w:pStyle w:val="ListParagraph"/>
        <w:rPr>
          <w:sz w:val="24"/>
          <w:szCs w:val="24"/>
        </w:rPr>
      </w:pPr>
    </w:p>
    <w:p w:rsidR="000B13DF" w:rsidRPr="000B13DF" w:rsidRDefault="001A6840" w:rsidP="008C6396">
      <w:pPr>
        <w:pStyle w:val="ListParagraph"/>
        <w:numPr>
          <w:ilvl w:val="0"/>
          <w:numId w:val="1"/>
        </w:numPr>
        <w:rPr>
          <w:sz w:val="24"/>
          <w:szCs w:val="24"/>
        </w:rPr>
      </w:pPr>
      <w:r w:rsidRPr="001A6840">
        <w:rPr>
          <w:b/>
          <w:sz w:val="24"/>
          <w:szCs w:val="24"/>
        </w:rPr>
        <w:t>Future Directions</w:t>
      </w:r>
      <w:r w:rsidR="00422A3E">
        <w:rPr>
          <w:b/>
          <w:sz w:val="24"/>
          <w:szCs w:val="24"/>
        </w:rPr>
        <w:t xml:space="preserve"> for ELED Program Improvement</w:t>
      </w:r>
      <w:r w:rsidR="00B15BCA">
        <w:rPr>
          <w:b/>
          <w:sz w:val="24"/>
          <w:szCs w:val="24"/>
        </w:rPr>
        <w:t xml:space="preserve"> (2018)</w:t>
      </w:r>
      <w:r w:rsidRPr="001A6840">
        <w:rPr>
          <w:b/>
          <w:sz w:val="24"/>
          <w:szCs w:val="24"/>
        </w:rPr>
        <w:t xml:space="preserve">: </w:t>
      </w:r>
    </w:p>
    <w:p w:rsidR="000B13DF" w:rsidRPr="000B13DF" w:rsidRDefault="000B13DF" w:rsidP="000B13DF">
      <w:pPr>
        <w:pStyle w:val="ListParagraph"/>
        <w:rPr>
          <w:b/>
          <w:sz w:val="24"/>
          <w:szCs w:val="24"/>
        </w:rPr>
      </w:pPr>
    </w:p>
    <w:p w:rsidR="0032479E" w:rsidRDefault="001A6840" w:rsidP="00C64E7D">
      <w:pPr>
        <w:pStyle w:val="ListParagraph"/>
        <w:numPr>
          <w:ilvl w:val="1"/>
          <w:numId w:val="1"/>
        </w:numPr>
        <w:rPr>
          <w:sz w:val="24"/>
          <w:szCs w:val="24"/>
        </w:rPr>
      </w:pPr>
      <w:r w:rsidRPr="001A6840">
        <w:rPr>
          <w:b/>
          <w:sz w:val="24"/>
          <w:szCs w:val="24"/>
        </w:rPr>
        <w:t xml:space="preserve">Internship supervision structure: </w:t>
      </w:r>
      <w:r w:rsidRPr="001A6840">
        <w:rPr>
          <w:sz w:val="24"/>
          <w:szCs w:val="24"/>
        </w:rPr>
        <w:t>Another focus in 2017 has been a</w:t>
      </w:r>
      <w:r w:rsidR="00FA674C" w:rsidRPr="001A6840">
        <w:rPr>
          <w:sz w:val="24"/>
          <w:szCs w:val="24"/>
        </w:rPr>
        <w:t xml:space="preserve"> reconsideration of the supervision structure for the ELED internship year. </w:t>
      </w:r>
      <w:r w:rsidR="00E24202" w:rsidRPr="001A6840">
        <w:rPr>
          <w:sz w:val="24"/>
          <w:szCs w:val="24"/>
        </w:rPr>
        <w:t xml:space="preserve">Due to the desire to have more longitudinal relationships with school partners, </w:t>
      </w:r>
      <w:r w:rsidR="00FA674C" w:rsidRPr="001A6840">
        <w:rPr>
          <w:sz w:val="24"/>
          <w:szCs w:val="24"/>
        </w:rPr>
        <w:t xml:space="preserve">Elementary Education is moving toward a more clustered placement model for candidates in our program (clustered each quarter by geographic region) and have begun conversations with local districts (particularly Bellingham and Mt. Vernon) about consistently placing interns more intentionally in schools where there is both high need to support students’ learning and high readiness to support WWU candidates during their internships. </w:t>
      </w:r>
      <w:r w:rsidR="00E24202" w:rsidRPr="001A6840">
        <w:rPr>
          <w:sz w:val="24"/>
          <w:szCs w:val="24"/>
        </w:rPr>
        <w:t xml:space="preserve">A review of literature focused on Professional Development Schools, internship structures, and school/university partnerships, plus an initial analysis of conversational data </w:t>
      </w:r>
      <w:r w:rsidR="00FA674C" w:rsidRPr="001A6840">
        <w:rPr>
          <w:sz w:val="24"/>
          <w:szCs w:val="24"/>
        </w:rPr>
        <w:t xml:space="preserve">with cooperating teachers, ELED interns, and among faculty, </w:t>
      </w:r>
      <w:r w:rsidRPr="001A6840">
        <w:rPr>
          <w:sz w:val="24"/>
          <w:szCs w:val="24"/>
        </w:rPr>
        <w:t xml:space="preserve">has resulted in the creation of a white paper proposal for revisions to the internship year clinical supervision structure. In 2018, we plan on collecting additional data from stakeholders, co-planning the new supervision structure in collaboration with the Office of Field Experience, and planning for its rollout in 2019. </w:t>
      </w:r>
    </w:p>
    <w:p w:rsidR="000B13DF" w:rsidRDefault="000B13DF" w:rsidP="000B13DF">
      <w:pPr>
        <w:pStyle w:val="ListParagraph"/>
        <w:rPr>
          <w:sz w:val="24"/>
          <w:szCs w:val="24"/>
        </w:rPr>
      </w:pPr>
    </w:p>
    <w:p w:rsidR="000B13DF" w:rsidRPr="000B13DF" w:rsidRDefault="000B13DF" w:rsidP="00C64E7D">
      <w:pPr>
        <w:pStyle w:val="ListParagraph"/>
        <w:numPr>
          <w:ilvl w:val="1"/>
          <w:numId w:val="1"/>
        </w:numPr>
        <w:rPr>
          <w:sz w:val="24"/>
          <w:szCs w:val="24"/>
        </w:rPr>
      </w:pPr>
      <w:r>
        <w:rPr>
          <w:b/>
          <w:sz w:val="24"/>
          <w:szCs w:val="24"/>
        </w:rPr>
        <w:t>C</w:t>
      </w:r>
      <w:r w:rsidRPr="000B13DF">
        <w:rPr>
          <w:b/>
          <w:sz w:val="24"/>
          <w:szCs w:val="24"/>
        </w:rPr>
        <w:t xml:space="preserve">oordination of Woodring Assessment Data: </w:t>
      </w:r>
      <w:r w:rsidRPr="000B13DF">
        <w:rPr>
          <w:sz w:val="24"/>
          <w:szCs w:val="24"/>
        </w:rPr>
        <w:t xml:space="preserve">In preparing this report, we were notified that the 2016-17 current internship surveys and graduate placement information are not posted on the Woodring assessment site. We look forward to working with the Director of Assessment and Evaluation to examine and analyze this data for next year’s Closing the Loop report. </w:t>
      </w:r>
    </w:p>
    <w:sectPr w:rsidR="000B13DF" w:rsidRPr="000B13DF" w:rsidSect="00ED0B70">
      <w:type w:val="continuous"/>
      <w:pgSz w:w="12240" w:h="15840"/>
      <w:pgMar w:top="432" w:right="108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DB4"/>
    <w:multiLevelType w:val="hybridMultilevel"/>
    <w:tmpl w:val="A93AB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A09"/>
    <w:multiLevelType w:val="hybridMultilevel"/>
    <w:tmpl w:val="878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14DE1"/>
    <w:multiLevelType w:val="hybridMultilevel"/>
    <w:tmpl w:val="5F2C9E22"/>
    <w:lvl w:ilvl="0" w:tplc="EE0CD2B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6E62"/>
    <w:multiLevelType w:val="hybridMultilevel"/>
    <w:tmpl w:val="5F2C9E22"/>
    <w:lvl w:ilvl="0" w:tplc="EE0CD2B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50CEA"/>
    <w:multiLevelType w:val="hybridMultilevel"/>
    <w:tmpl w:val="2EEEE6B2"/>
    <w:lvl w:ilvl="0" w:tplc="EB42ED8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61F4E"/>
    <w:multiLevelType w:val="hybridMultilevel"/>
    <w:tmpl w:val="52B6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466AB"/>
    <w:multiLevelType w:val="hybridMultilevel"/>
    <w:tmpl w:val="02F85D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60EDA"/>
    <w:multiLevelType w:val="hybridMultilevel"/>
    <w:tmpl w:val="F624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424BD"/>
    <w:multiLevelType w:val="hybridMultilevel"/>
    <w:tmpl w:val="1FC410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E32BD1"/>
    <w:multiLevelType w:val="hybridMultilevel"/>
    <w:tmpl w:val="2D34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82DE9"/>
    <w:multiLevelType w:val="multilevel"/>
    <w:tmpl w:val="02F85DB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8BA53F1"/>
    <w:multiLevelType w:val="hybridMultilevel"/>
    <w:tmpl w:val="3D1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10"/>
  </w:num>
  <w:num w:numId="7">
    <w:abstractNumId w:val="11"/>
  </w:num>
  <w:num w:numId="8">
    <w:abstractNumId w:val="0"/>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96"/>
    <w:rsid w:val="00010BA1"/>
    <w:rsid w:val="000269A8"/>
    <w:rsid w:val="00056796"/>
    <w:rsid w:val="00091A3D"/>
    <w:rsid w:val="00095D36"/>
    <w:rsid w:val="000A793D"/>
    <w:rsid w:val="000B13DF"/>
    <w:rsid w:val="000C2BBB"/>
    <w:rsid w:val="00102DA3"/>
    <w:rsid w:val="00150293"/>
    <w:rsid w:val="001A6840"/>
    <w:rsid w:val="001C0F2E"/>
    <w:rsid w:val="001C66D4"/>
    <w:rsid w:val="00247D0D"/>
    <w:rsid w:val="0027221B"/>
    <w:rsid w:val="002853AC"/>
    <w:rsid w:val="00291779"/>
    <w:rsid w:val="002B2EB3"/>
    <w:rsid w:val="002D570E"/>
    <w:rsid w:val="002F1ED5"/>
    <w:rsid w:val="002F704D"/>
    <w:rsid w:val="003053CF"/>
    <w:rsid w:val="0032262A"/>
    <w:rsid w:val="0032479E"/>
    <w:rsid w:val="0038007E"/>
    <w:rsid w:val="003851DF"/>
    <w:rsid w:val="00385BC2"/>
    <w:rsid w:val="0039184B"/>
    <w:rsid w:val="003A1A17"/>
    <w:rsid w:val="003A54E4"/>
    <w:rsid w:val="003C7B65"/>
    <w:rsid w:val="00422A3E"/>
    <w:rsid w:val="00440EF3"/>
    <w:rsid w:val="0044170D"/>
    <w:rsid w:val="00486094"/>
    <w:rsid w:val="004B1059"/>
    <w:rsid w:val="004C0A1F"/>
    <w:rsid w:val="004D20E2"/>
    <w:rsid w:val="0053303D"/>
    <w:rsid w:val="005965CF"/>
    <w:rsid w:val="005B5537"/>
    <w:rsid w:val="005C0DD5"/>
    <w:rsid w:val="005C1589"/>
    <w:rsid w:val="005D537E"/>
    <w:rsid w:val="005D6000"/>
    <w:rsid w:val="005E53B5"/>
    <w:rsid w:val="00627DC5"/>
    <w:rsid w:val="00630601"/>
    <w:rsid w:val="006348A2"/>
    <w:rsid w:val="00672A4F"/>
    <w:rsid w:val="006973B1"/>
    <w:rsid w:val="006A356C"/>
    <w:rsid w:val="006B6DB6"/>
    <w:rsid w:val="006D7183"/>
    <w:rsid w:val="006E64EE"/>
    <w:rsid w:val="007002DC"/>
    <w:rsid w:val="0070676D"/>
    <w:rsid w:val="00767CF9"/>
    <w:rsid w:val="00770629"/>
    <w:rsid w:val="00781B5E"/>
    <w:rsid w:val="007A0413"/>
    <w:rsid w:val="007C5B4E"/>
    <w:rsid w:val="007E5F13"/>
    <w:rsid w:val="007F0CAF"/>
    <w:rsid w:val="007F2D73"/>
    <w:rsid w:val="00813C7A"/>
    <w:rsid w:val="00817D09"/>
    <w:rsid w:val="00886B9E"/>
    <w:rsid w:val="008A292A"/>
    <w:rsid w:val="008B6B8F"/>
    <w:rsid w:val="008C6396"/>
    <w:rsid w:val="008D5812"/>
    <w:rsid w:val="008F1277"/>
    <w:rsid w:val="00930BDC"/>
    <w:rsid w:val="00936D27"/>
    <w:rsid w:val="009A3D0B"/>
    <w:rsid w:val="009B60A4"/>
    <w:rsid w:val="009C3098"/>
    <w:rsid w:val="009E062B"/>
    <w:rsid w:val="009E122F"/>
    <w:rsid w:val="009E4984"/>
    <w:rsid w:val="009F001E"/>
    <w:rsid w:val="009F5DC9"/>
    <w:rsid w:val="009F7113"/>
    <w:rsid w:val="00A02163"/>
    <w:rsid w:val="00A20540"/>
    <w:rsid w:val="00A2485B"/>
    <w:rsid w:val="00A278BF"/>
    <w:rsid w:val="00A749B6"/>
    <w:rsid w:val="00AA38E8"/>
    <w:rsid w:val="00AB0745"/>
    <w:rsid w:val="00AD32A9"/>
    <w:rsid w:val="00AD33AC"/>
    <w:rsid w:val="00AE0C00"/>
    <w:rsid w:val="00B0045A"/>
    <w:rsid w:val="00B10B45"/>
    <w:rsid w:val="00B15BCA"/>
    <w:rsid w:val="00B2266B"/>
    <w:rsid w:val="00B754B8"/>
    <w:rsid w:val="00BA74D8"/>
    <w:rsid w:val="00BB3AC4"/>
    <w:rsid w:val="00BB49CB"/>
    <w:rsid w:val="00BE3D5E"/>
    <w:rsid w:val="00C07543"/>
    <w:rsid w:val="00C212CB"/>
    <w:rsid w:val="00C3551E"/>
    <w:rsid w:val="00C435EB"/>
    <w:rsid w:val="00C64E7D"/>
    <w:rsid w:val="00C8698D"/>
    <w:rsid w:val="00C93849"/>
    <w:rsid w:val="00C9610F"/>
    <w:rsid w:val="00D164E1"/>
    <w:rsid w:val="00D22418"/>
    <w:rsid w:val="00D4574C"/>
    <w:rsid w:val="00DA3940"/>
    <w:rsid w:val="00DF303B"/>
    <w:rsid w:val="00DF58CF"/>
    <w:rsid w:val="00E24202"/>
    <w:rsid w:val="00E4628B"/>
    <w:rsid w:val="00E84655"/>
    <w:rsid w:val="00EB1EE3"/>
    <w:rsid w:val="00EC6167"/>
    <w:rsid w:val="00ED0B70"/>
    <w:rsid w:val="00F11B2D"/>
    <w:rsid w:val="00F663D5"/>
    <w:rsid w:val="00F7052F"/>
    <w:rsid w:val="00FA674C"/>
    <w:rsid w:val="00FB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60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45"/>
    <w:pPr>
      <w:ind w:left="720"/>
      <w:contextualSpacing/>
    </w:pPr>
  </w:style>
  <w:style w:type="table" w:styleId="TableGrid">
    <w:name w:val="Table Grid"/>
    <w:basedOn w:val="TableNormal"/>
    <w:uiPriority w:val="59"/>
    <w:rsid w:val="00A0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0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994">
      <w:bodyDiv w:val="1"/>
      <w:marLeft w:val="0"/>
      <w:marRight w:val="0"/>
      <w:marTop w:val="0"/>
      <w:marBottom w:val="0"/>
      <w:divBdr>
        <w:top w:val="none" w:sz="0" w:space="0" w:color="auto"/>
        <w:left w:val="none" w:sz="0" w:space="0" w:color="auto"/>
        <w:bottom w:val="none" w:sz="0" w:space="0" w:color="auto"/>
        <w:right w:val="none" w:sz="0" w:space="0" w:color="auto"/>
      </w:divBdr>
    </w:div>
    <w:div w:id="235743316">
      <w:bodyDiv w:val="1"/>
      <w:marLeft w:val="0"/>
      <w:marRight w:val="0"/>
      <w:marTop w:val="0"/>
      <w:marBottom w:val="0"/>
      <w:divBdr>
        <w:top w:val="none" w:sz="0" w:space="0" w:color="auto"/>
        <w:left w:val="none" w:sz="0" w:space="0" w:color="auto"/>
        <w:bottom w:val="none" w:sz="0" w:space="0" w:color="auto"/>
        <w:right w:val="none" w:sz="0" w:space="0" w:color="auto"/>
      </w:divBdr>
    </w:div>
    <w:div w:id="347099588">
      <w:bodyDiv w:val="1"/>
      <w:marLeft w:val="0"/>
      <w:marRight w:val="0"/>
      <w:marTop w:val="0"/>
      <w:marBottom w:val="0"/>
      <w:divBdr>
        <w:top w:val="none" w:sz="0" w:space="0" w:color="auto"/>
        <w:left w:val="none" w:sz="0" w:space="0" w:color="auto"/>
        <w:bottom w:val="none" w:sz="0" w:space="0" w:color="auto"/>
        <w:right w:val="none" w:sz="0" w:space="0" w:color="auto"/>
      </w:divBdr>
    </w:div>
    <w:div w:id="404104956">
      <w:bodyDiv w:val="1"/>
      <w:marLeft w:val="0"/>
      <w:marRight w:val="0"/>
      <w:marTop w:val="0"/>
      <w:marBottom w:val="0"/>
      <w:divBdr>
        <w:top w:val="none" w:sz="0" w:space="0" w:color="auto"/>
        <w:left w:val="none" w:sz="0" w:space="0" w:color="auto"/>
        <w:bottom w:val="none" w:sz="0" w:space="0" w:color="auto"/>
        <w:right w:val="none" w:sz="0" w:space="0" w:color="auto"/>
      </w:divBdr>
    </w:div>
    <w:div w:id="449592142">
      <w:bodyDiv w:val="1"/>
      <w:marLeft w:val="0"/>
      <w:marRight w:val="0"/>
      <w:marTop w:val="0"/>
      <w:marBottom w:val="0"/>
      <w:divBdr>
        <w:top w:val="none" w:sz="0" w:space="0" w:color="auto"/>
        <w:left w:val="none" w:sz="0" w:space="0" w:color="auto"/>
        <w:bottom w:val="none" w:sz="0" w:space="0" w:color="auto"/>
        <w:right w:val="none" w:sz="0" w:space="0" w:color="auto"/>
      </w:divBdr>
    </w:div>
    <w:div w:id="634456306">
      <w:bodyDiv w:val="1"/>
      <w:marLeft w:val="0"/>
      <w:marRight w:val="0"/>
      <w:marTop w:val="0"/>
      <w:marBottom w:val="0"/>
      <w:divBdr>
        <w:top w:val="none" w:sz="0" w:space="0" w:color="auto"/>
        <w:left w:val="none" w:sz="0" w:space="0" w:color="auto"/>
        <w:bottom w:val="none" w:sz="0" w:space="0" w:color="auto"/>
        <w:right w:val="none" w:sz="0" w:space="0" w:color="auto"/>
      </w:divBdr>
    </w:div>
    <w:div w:id="678047628">
      <w:bodyDiv w:val="1"/>
      <w:marLeft w:val="0"/>
      <w:marRight w:val="0"/>
      <w:marTop w:val="0"/>
      <w:marBottom w:val="0"/>
      <w:divBdr>
        <w:top w:val="none" w:sz="0" w:space="0" w:color="auto"/>
        <w:left w:val="none" w:sz="0" w:space="0" w:color="auto"/>
        <w:bottom w:val="none" w:sz="0" w:space="0" w:color="auto"/>
        <w:right w:val="none" w:sz="0" w:space="0" w:color="auto"/>
      </w:divBdr>
    </w:div>
    <w:div w:id="698429506">
      <w:bodyDiv w:val="1"/>
      <w:marLeft w:val="0"/>
      <w:marRight w:val="0"/>
      <w:marTop w:val="0"/>
      <w:marBottom w:val="0"/>
      <w:divBdr>
        <w:top w:val="none" w:sz="0" w:space="0" w:color="auto"/>
        <w:left w:val="none" w:sz="0" w:space="0" w:color="auto"/>
        <w:bottom w:val="none" w:sz="0" w:space="0" w:color="auto"/>
        <w:right w:val="none" w:sz="0" w:space="0" w:color="auto"/>
      </w:divBdr>
    </w:div>
    <w:div w:id="1055160277">
      <w:bodyDiv w:val="1"/>
      <w:marLeft w:val="0"/>
      <w:marRight w:val="0"/>
      <w:marTop w:val="0"/>
      <w:marBottom w:val="0"/>
      <w:divBdr>
        <w:top w:val="none" w:sz="0" w:space="0" w:color="auto"/>
        <w:left w:val="none" w:sz="0" w:space="0" w:color="auto"/>
        <w:bottom w:val="none" w:sz="0" w:space="0" w:color="auto"/>
        <w:right w:val="none" w:sz="0" w:space="0" w:color="auto"/>
      </w:divBdr>
    </w:div>
    <w:div w:id="1254972561">
      <w:bodyDiv w:val="1"/>
      <w:marLeft w:val="0"/>
      <w:marRight w:val="0"/>
      <w:marTop w:val="0"/>
      <w:marBottom w:val="0"/>
      <w:divBdr>
        <w:top w:val="none" w:sz="0" w:space="0" w:color="auto"/>
        <w:left w:val="none" w:sz="0" w:space="0" w:color="auto"/>
        <w:bottom w:val="none" w:sz="0" w:space="0" w:color="auto"/>
        <w:right w:val="none" w:sz="0" w:space="0" w:color="auto"/>
      </w:divBdr>
    </w:div>
    <w:div w:id="1440375582">
      <w:bodyDiv w:val="1"/>
      <w:marLeft w:val="0"/>
      <w:marRight w:val="0"/>
      <w:marTop w:val="0"/>
      <w:marBottom w:val="0"/>
      <w:divBdr>
        <w:top w:val="none" w:sz="0" w:space="0" w:color="auto"/>
        <w:left w:val="none" w:sz="0" w:space="0" w:color="auto"/>
        <w:bottom w:val="none" w:sz="0" w:space="0" w:color="auto"/>
        <w:right w:val="none" w:sz="0" w:space="0" w:color="auto"/>
      </w:divBdr>
    </w:div>
    <w:div w:id="1617710630">
      <w:bodyDiv w:val="1"/>
      <w:marLeft w:val="0"/>
      <w:marRight w:val="0"/>
      <w:marTop w:val="0"/>
      <w:marBottom w:val="0"/>
      <w:divBdr>
        <w:top w:val="none" w:sz="0" w:space="0" w:color="auto"/>
        <w:left w:val="none" w:sz="0" w:space="0" w:color="auto"/>
        <w:bottom w:val="none" w:sz="0" w:space="0" w:color="auto"/>
        <w:right w:val="none" w:sz="0" w:space="0" w:color="auto"/>
      </w:divBdr>
    </w:div>
    <w:div w:id="2111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Miller</dc:creator>
  <cp:lastModifiedBy>Matthew Miller</cp:lastModifiedBy>
  <cp:revision>2</cp:revision>
  <cp:lastPrinted>2017-01-10T20:25:00Z</cp:lastPrinted>
  <dcterms:created xsi:type="dcterms:W3CDTF">2018-02-05T19:44:00Z</dcterms:created>
  <dcterms:modified xsi:type="dcterms:W3CDTF">2018-02-05T19:44:00Z</dcterms:modified>
</cp:coreProperties>
</file>