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548"/>
        <w:gridCol w:w="4230"/>
        <w:gridCol w:w="1103"/>
        <w:gridCol w:w="3307"/>
      </w:tblGrid>
      <w:tr w:rsidR="006D7CA1" w:rsidTr="008710AA">
        <w:trPr>
          <w:cantSplit/>
          <w:trHeight w:val="1170"/>
        </w:trPr>
        <w:tc>
          <w:tcPr>
            <w:tcW w:w="6881" w:type="dxa"/>
            <w:gridSpan w:val="3"/>
            <w:tcBorders>
              <w:bottom w:val="single" w:sz="6" w:space="0" w:color="auto"/>
            </w:tcBorders>
          </w:tcPr>
          <w:p w:rsidR="006D7CA1" w:rsidRDefault="003A7C15" w:rsidP="00E36CFC">
            <w:pPr>
              <w:spacing w:line="276" w:lineRule="auto"/>
            </w:pPr>
            <w:r>
              <w:rPr>
                <w:noProof/>
              </w:rPr>
              <w:drawing>
                <wp:inline distT="0" distB="0" distL="0" distR="0" wp14:anchorId="538D375E" wp14:editId="6B91FF24">
                  <wp:extent cx="13620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685800"/>
                          </a:xfrm>
                          <a:prstGeom prst="rect">
                            <a:avLst/>
                          </a:prstGeom>
                          <a:noFill/>
                          <a:ln>
                            <a:noFill/>
                          </a:ln>
                        </pic:spPr>
                      </pic:pic>
                    </a:graphicData>
                  </a:graphic>
                </wp:inline>
              </w:drawing>
            </w:r>
          </w:p>
        </w:tc>
        <w:tc>
          <w:tcPr>
            <w:tcW w:w="3307" w:type="dxa"/>
            <w:tcBorders>
              <w:bottom w:val="single" w:sz="6" w:space="0" w:color="auto"/>
            </w:tcBorders>
          </w:tcPr>
          <w:p w:rsidR="006D7CA1" w:rsidRDefault="006D7CA1" w:rsidP="00E36CFC">
            <w:pPr>
              <w:spacing w:line="276" w:lineRule="auto"/>
              <w:jc w:val="right"/>
              <w:rPr>
                <w:b/>
                <w:sz w:val="20"/>
              </w:rPr>
            </w:pPr>
          </w:p>
          <w:p w:rsidR="006D7CA1" w:rsidRDefault="006D7CA1" w:rsidP="00E36CFC">
            <w:pPr>
              <w:spacing w:line="276" w:lineRule="auto"/>
              <w:jc w:val="right"/>
              <w:rPr>
                <w:b/>
                <w:sz w:val="36"/>
              </w:rPr>
            </w:pPr>
            <w:r>
              <w:rPr>
                <w:b/>
                <w:sz w:val="40"/>
              </w:rPr>
              <w:t>MEMO</w:t>
            </w:r>
          </w:p>
        </w:tc>
      </w:tr>
      <w:tr w:rsidR="006D7CA1">
        <w:trPr>
          <w:cantSplit/>
        </w:trPr>
        <w:tc>
          <w:tcPr>
            <w:tcW w:w="5778" w:type="dxa"/>
            <w:gridSpan w:val="2"/>
          </w:tcPr>
          <w:p w:rsidR="006D7CA1" w:rsidRDefault="00162DB1" w:rsidP="00E36CFC">
            <w:pPr>
              <w:spacing w:before="120" w:line="276" w:lineRule="auto"/>
              <w:rPr>
                <w:sz w:val="20"/>
              </w:rPr>
            </w:pPr>
            <w:r>
              <w:rPr>
                <w:sz w:val="20"/>
              </w:rPr>
              <w:t xml:space="preserve">Kevin Roxas, </w:t>
            </w:r>
            <w:r w:rsidR="006D7CA1">
              <w:rPr>
                <w:sz w:val="20"/>
              </w:rPr>
              <w:t>Secondary Ed</w:t>
            </w:r>
            <w:r w:rsidR="006168AE">
              <w:rPr>
                <w:sz w:val="20"/>
              </w:rPr>
              <w:t>ucation</w:t>
            </w:r>
          </w:p>
        </w:tc>
        <w:tc>
          <w:tcPr>
            <w:tcW w:w="4410" w:type="dxa"/>
            <w:gridSpan w:val="2"/>
          </w:tcPr>
          <w:p w:rsidR="006D7CA1" w:rsidRDefault="006D7CA1" w:rsidP="00E36CFC">
            <w:pPr>
              <w:tabs>
                <w:tab w:val="left" w:pos="3042"/>
              </w:tabs>
              <w:spacing w:before="120" w:line="276" w:lineRule="auto"/>
              <w:jc w:val="right"/>
              <w:rPr>
                <w:sz w:val="20"/>
              </w:rPr>
            </w:pPr>
          </w:p>
        </w:tc>
      </w:tr>
      <w:tr w:rsidR="006D7CA1">
        <w:trPr>
          <w:cantSplit/>
        </w:trPr>
        <w:tc>
          <w:tcPr>
            <w:tcW w:w="10188" w:type="dxa"/>
            <w:gridSpan w:val="4"/>
          </w:tcPr>
          <w:p w:rsidR="00162DB1" w:rsidRDefault="00162DB1" w:rsidP="00162DB1">
            <w:pPr>
              <w:spacing w:line="276" w:lineRule="auto"/>
              <w:rPr>
                <w:color w:val="000000"/>
                <w:sz w:val="20"/>
              </w:rPr>
            </w:pPr>
            <w:r w:rsidRPr="00162DB1">
              <w:rPr>
                <w:sz w:val="20"/>
              </w:rPr>
              <w:t>kevinroxas@wwu.edu</w:t>
            </w:r>
            <w:r>
              <w:rPr>
                <w:color w:val="000000"/>
                <w:sz w:val="20"/>
              </w:rPr>
              <w:t xml:space="preserve">     </w:t>
            </w:r>
          </w:p>
          <w:p w:rsidR="006D7CA1" w:rsidRPr="00162DB1" w:rsidRDefault="00162DB1" w:rsidP="00162DB1">
            <w:pPr>
              <w:spacing w:line="276" w:lineRule="auto"/>
              <w:rPr>
                <w:color w:val="000000"/>
                <w:sz w:val="20"/>
              </w:rPr>
            </w:pPr>
            <w:r>
              <w:rPr>
                <w:color w:val="000000"/>
                <w:sz w:val="20"/>
              </w:rPr>
              <w:t xml:space="preserve"> </w:t>
            </w:r>
            <w:r w:rsidR="006D7CA1" w:rsidRPr="00162DB1">
              <w:rPr>
                <w:color w:val="000000"/>
                <w:sz w:val="20"/>
              </w:rPr>
              <w:t>(360) 650-</w:t>
            </w:r>
            <w:r w:rsidRPr="00162DB1">
              <w:rPr>
                <w:color w:val="000000"/>
                <w:sz w:val="20"/>
              </w:rPr>
              <w:t>4521</w:t>
            </w:r>
            <w:r w:rsidR="006D7CA1" w:rsidRPr="00162DB1">
              <w:rPr>
                <w:color w:val="000000"/>
                <w:sz w:val="20"/>
              </w:rPr>
              <w:t xml:space="preserve">         </w:t>
            </w:r>
          </w:p>
        </w:tc>
      </w:tr>
      <w:tr w:rsidR="006D7CA1" w:rsidRPr="003A7C15">
        <w:trPr>
          <w:cantSplit/>
        </w:trPr>
        <w:tc>
          <w:tcPr>
            <w:tcW w:w="10188" w:type="dxa"/>
            <w:gridSpan w:val="4"/>
          </w:tcPr>
          <w:p w:rsidR="006168AE" w:rsidRPr="003A7C15" w:rsidRDefault="006168AE" w:rsidP="00311BCA">
            <w:pPr>
              <w:pBdr>
                <w:bottom w:val="single" w:sz="6" w:space="1" w:color="auto"/>
              </w:pBdr>
              <w:spacing w:line="276" w:lineRule="auto"/>
              <w:rPr>
                <w:rFonts w:ascii="Times New Roman" w:hAnsi="Times New Roman"/>
                <w:sz w:val="20"/>
              </w:rPr>
            </w:pPr>
          </w:p>
          <w:p w:rsidR="006D7CA1" w:rsidRPr="003A7C15" w:rsidRDefault="006D7CA1" w:rsidP="00E36CFC">
            <w:pPr>
              <w:spacing w:line="276" w:lineRule="auto"/>
              <w:rPr>
                <w:rFonts w:ascii="Times New Roman" w:hAnsi="Times New Roman"/>
                <w:sz w:val="20"/>
              </w:rPr>
            </w:pPr>
            <w:r w:rsidRPr="003A7C15">
              <w:rPr>
                <w:rFonts w:ascii="Times New Roman" w:hAnsi="Times New Roman"/>
                <w:sz w:val="20"/>
              </w:rPr>
              <w:t xml:space="preserve"> </w:t>
            </w:r>
          </w:p>
        </w:tc>
      </w:tr>
      <w:tr w:rsidR="006D7CA1" w:rsidRPr="00311BCA" w:rsidTr="006168AE">
        <w:trPr>
          <w:cantSplit/>
          <w:trHeight w:val="20"/>
        </w:trPr>
        <w:tc>
          <w:tcPr>
            <w:tcW w:w="1548" w:type="dxa"/>
          </w:tcPr>
          <w:p w:rsidR="006D7CA1" w:rsidRPr="00311BCA" w:rsidRDefault="006D7CA1" w:rsidP="00E36CFC">
            <w:pPr>
              <w:spacing w:line="276" w:lineRule="auto"/>
              <w:rPr>
                <w:rFonts w:ascii="Times New Roman" w:hAnsi="Times New Roman"/>
              </w:rPr>
            </w:pPr>
            <w:r w:rsidRPr="00311BCA">
              <w:rPr>
                <w:rFonts w:ascii="Times New Roman" w:hAnsi="Times New Roman"/>
              </w:rPr>
              <w:t>To:</w:t>
            </w:r>
          </w:p>
        </w:tc>
        <w:tc>
          <w:tcPr>
            <w:tcW w:w="8640" w:type="dxa"/>
            <w:gridSpan w:val="3"/>
          </w:tcPr>
          <w:p w:rsidR="006D7CA1" w:rsidRPr="00311BCA" w:rsidRDefault="00735C69" w:rsidP="00E36CFC">
            <w:pPr>
              <w:spacing w:line="276" w:lineRule="auto"/>
              <w:rPr>
                <w:rFonts w:ascii="Times New Roman" w:hAnsi="Times New Roman"/>
              </w:rPr>
            </w:pPr>
            <w:bookmarkStart w:id="0" w:name="To"/>
            <w:bookmarkEnd w:id="0"/>
            <w:r w:rsidRPr="00311BCA">
              <w:rPr>
                <w:rFonts w:ascii="Times New Roman" w:hAnsi="Times New Roman"/>
              </w:rPr>
              <w:t>Bruce Larson</w:t>
            </w:r>
            <w:r w:rsidR="00531304" w:rsidRPr="00311BCA">
              <w:rPr>
                <w:rFonts w:ascii="Times New Roman" w:hAnsi="Times New Roman"/>
              </w:rPr>
              <w:t xml:space="preserve">, Associate Dean, </w:t>
            </w:r>
            <w:proofErr w:type="spellStart"/>
            <w:r w:rsidR="00531304" w:rsidRPr="00311BCA">
              <w:rPr>
                <w:rFonts w:ascii="Times New Roman" w:hAnsi="Times New Roman"/>
              </w:rPr>
              <w:t>Woodring</w:t>
            </w:r>
            <w:proofErr w:type="spellEnd"/>
            <w:r w:rsidR="00531304" w:rsidRPr="00311BCA">
              <w:rPr>
                <w:rFonts w:ascii="Times New Roman" w:hAnsi="Times New Roman"/>
              </w:rPr>
              <w:t xml:space="preserve"> College of Education</w:t>
            </w:r>
          </w:p>
        </w:tc>
      </w:tr>
      <w:tr w:rsidR="006D7CA1" w:rsidRPr="00311BCA" w:rsidTr="006168AE">
        <w:trPr>
          <w:cantSplit/>
          <w:trHeight w:val="20"/>
        </w:trPr>
        <w:tc>
          <w:tcPr>
            <w:tcW w:w="1548" w:type="dxa"/>
          </w:tcPr>
          <w:p w:rsidR="006D7CA1" w:rsidRPr="00311BCA" w:rsidRDefault="006D7CA1" w:rsidP="00E36CFC">
            <w:pPr>
              <w:spacing w:line="276" w:lineRule="auto"/>
              <w:rPr>
                <w:rFonts w:ascii="Times New Roman" w:hAnsi="Times New Roman"/>
              </w:rPr>
            </w:pPr>
            <w:r w:rsidRPr="00311BCA">
              <w:rPr>
                <w:rFonts w:ascii="Times New Roman" w:hAnsi="Times New Roman"/>
              </w:rPr>
              <w:t>From:</w:t>
            </w:r>
          </w:p>
        </w:tc>
        <w:tc>
          <w:tcPr>
            <w:tcW w:w="8640" w:type="dxa"/>
            <w:gridSpan w:val="3"/>
          </w:tcPr>
          <w:p w:rsidR="006D7CA1" w:rsidRPr="00311BCA" w:rsidRDefault="00002A00" w:rsidP="00E36CFC">
            <w:pPr>
              <w:spacing w:line="276" w:lineRule="auto"/>
              <w:rPr>
                <w:rFonts w:ascii="Times New Roman" w:hAnsi="Times New Roman"/>
              </w:rPr>
            </w:pPr>
            <w:bookmarkStart w:id="1" w:name="From"/>
            <w:bookmarkEnd w:id="1"/>
            <w:r w:rsidRPr="00311BCA">
              <w:rPr>
                <w:rFonts w:ascii="Times New Roman" w:hAnsi="Times New Roman"/>
              </w:rPr>
              <w:t>Kevin Roxas, Secondary Education Chair</w:t>
            </w:r>
          </w:p>
        </w:tc>
      </w:tr>
      <w:tr w:rsidR="006D7CA1" w:rsidRPr="00311BCA" w:rsidTr="006168AE">
        <w:trPr>
          <w:cantSplit/>
          <w:trHeight w:val="20"/>
        </w:trPr>
        <w:tc>
          <w:tcPr>
            <w:tcW w:w="1548" w:type="dxa"/>
          </w:tcPr>
          <w:p w:rsidR="006D7CA1" w:rsidRPr="00311BCA" w:rsidRDefault="006D7CA1" w:rsidP="00E36CFC">
            <w:pPr>
              <w:spacing w:line="276" w:lineRule="auto"/>
              <w:rPr>
                <w:rFonts w:ascii="Times New Roman" w:hAnsi="Times New Roman"/>
              </w:rPr>
            </w:pPr>
            <w:r w:rsidRPr="00311BCA">
              <w:rPr>
                <w:rFonts w:ascii="Times New Roman" w:hAnsi="Times New Roman"/>
              </w:rPr>
              <w:t>Date:</w:t>
            </w:r>
          </w:p>
        </w:tc>
        <w:tc>
          <w:tcPr>
            <w:tcW w:w="8640" w:type="dxa"/>
            <w:gridSpan w:val="3"/>
          </w:tcPr>
          <w:p w:rsidR="006D7CA1" w:rsidRPr="00311BCA" w:rsidRDefault="00AC7686" w:rsidP="00432CBA">
            <w:pPr>
              <w:spacing w:line="276" w:lineRule="auto"/>
              <w:rPr>
                <w:rFonts w:ascii="Times New Roman" w:hAnsi="Times New Roman"/>
              </w:rPr>
            </w:pPr>
            <w:bookmarkStart w:id="2" w:name="Date"/>
            <w:bookmarkEnd w:id="2"/>
            <w:r>
              <w:rPr>
                <w:rFonts w:ascii="Times New Roman" w:hAnsi="Times New Roman"/>
              </w:rPr>
              <w:t>March 1, 2018</w:t>
            </w:r>
          </w:p>
        </w:tc>
      </w:tr>
      <w:tr w:rsidR="006D7CA1" w:rsidRPr="00311BCA" w:rsidTr="00002A00">
        <w:trPr>
          <w:cantSplit/>
          <w:trHeight w:val="243"/>
        </w:trPr>
        <w:tc>
          <w:tcPr>
            <w:tcW w:w="1548" w:type="dxa"/>
          </w:tcPr>
          <w:p w:rsidR="006D7CA1" w:rsidRPr="00311BCA" w:rsidRDefault="006D7CA1" w:rsidP="00E36CFC">
            <w:pPr>
              <w:spacing w:line="276" w:lineRule="auto"/>
              <w:rPr>
                <w:rFonts w:ascii="Times New Roman" w:hAnsi="Times New Roman"/>
              </w:rPr>
            </w:pPr>
            <w:r w:rsidRPr="00311BCA">
              <w:rPr>
                <w:rFonts w:ascii="Times New Roman" w:hAnsi="Times New Roman"/>
              </w:rPr>
              <w:t>Subject:</w:t>
            </w:r>
          </w:p>
        </w:tc>
        <w:tc>
          <w:tcPr>
            <w:tcW w:w="8640" w:type="dxa"/>
            <w:gridSpan w:val="3"/>
          </w:tcPr>
          <w:p w:rsidR="006D7CA1" w:rsidRPr="00311BCA" w:rsidRDefault="006168AE" w:rsidP="00E36CFC">
            <w:pPr>
              <w:spacing w:line="276" w:lineRule="auto"/>
              <w:rPr>
                <w:rFonts w:ascii="Times New Roman" w:hAnsi="Times New Roman"/>
              </w:rPr>
            </w:pPr>
            <w:bookmarkStart w:id="3" w:name="Subject"/>
            <w:bookmarkEnd w:id="3"/>
            <w:r w:rsidRPr="00311BCA">
              <w:rPr>
                <w:rFonts w:ascii="Times New Roman" w:hAnsi="Times New Roman"/>
              </w:rPr>
              <w:t>Closing the Assessment Loop Report</w:t>
            </w:r>
            <w:r w:rsidR="00DC4508" w:rsidRPr="00311BCA">
              <w:rPr>
                <w:rFonts w:ascii="Times New Roman" w:hAnsi="Times New Roman"/>
              </w:rPr>
              <w:t xml:space="preserve">; </w:t>
            </w:r>
            <w:r w:rsidR="00531304" w:rsidRPr="00311BCA">
              <w:rPr>
                <w:rFonts w:ascii="Times New Roman" w:hAnsi="Times New Roman"/>
              </w:rPr>
              <w:t xml:space="preserve">SEC </w:t>
            </w:r>
            <w:r w:rsidR="00DC4508" w:rsidRPr="00311BCA">
              <w:rPr>
                <w:rFonts w:ascii="Times New Roman" w:hAnsi="Times New Roman"/>
              </w:rPr>
              <w:t>UG/PB and MIT programs together</w:t>
            </w:r>
          </w:p>
        </w:tc>
      </w:tr>
    </w:tbl>
    <w:p w:rsidR="003A7C15" w:rsidRPr="00311BCA" w:rsidRDefault="003A7C15" w:rsidP="00E36CFC">
      <w:pPr>
        <w:spacing w:line="276" w:lineRule="auto"/>
        <w:rPr>
          <w:rFonts w:ascii="Times New Roman" w:hAnsi="Times New Roman"/>
          <w:sz w:val="28"/>
        </w:rPr>
      </w:pPr>
    </w:p>
    <w:p w:rsidR="006168AE" w:rsidRPr="00311BCA" w:rsidRDefault="006168AE" w:rsidP="00E36CFC">
      <w:pPr>
        <w:spacing w:line="276" w:lineRule="auto"/>
        <w:rPr>
          <w:rFonts w:ascii="Times New Roman" w:hAnsi="Times New Roman"/>
          <w:szCs w:val="24"/>
          <w:u w:val="single"/>
        </w:rPr>
      </w:pPr>
      <w:r w:rsidRPr="00311BCA">
        <w:rPr>
          <w:rFonts w:ascii="Times New Roman" w:hAnsi="Times New Roman"/>
          <w:szCs w:val="24"/>
          <w:u w:val="single"/>
        </w:rPr>
        <w:t xml:space="preserve">Section 1:  Program Assessment Plan Transition Point Assessments </w:t>
      </w:r>
    </w:p>
    <w:p w:rsidR="006168AE" w:rsidRPr="00311BCA" w:rsidRDefault="006168AE" w:rsidP="00E36CFC">
      <w:pPr>
        <w:spacing w:line="276" w:lineRule="auto"/>
        <w:rPr>
          <w:rFonts w:ascii="Times New Roman" w:hAnsi="Times New Roman"/>
          <w:b/>
          <w:szCs w:val="24"/>
        </w:rPr>
      </w:pPr>
    </w:p>
    <w:tbl>
      <w:tblPr>
        <w:tblStyle w:val="TableGrid"/>
        <w:tblW w:w="0" w:type="auto"/>
        <w:tblLook w:val="04A0" w:firstRow="1" w:lastRow="0" w:firstColumn="1" w:lastColumn="0" w:noHBand="0" w:noVBand="1"/>
      </w:tblPr>
      <w:tblGrid>
        <w:gridCol w:w="2178"/>
        <w:gridCol w:w="7398"/>
      </w:tblGrid>
      <w:tr w:rsidR="006168AE" w:rsidRPr="00311BCA" w:rsidTr="00531304">
        <w:tc>
          <w:tcPr>
            <w:tcW w:w="2178" w:type="dxa"/>
          </w:tcPr>
          <w:p w:rsidR="006168AE" w:rsidRPr="00311BCA" w:rsidRDefault="006168AE" w:rsidP="00E36CFC">
            <w:pPr>
              <w:spacing w:line="276" w:lineRule="auto"/>
              <w:rPr>
                <w:szCs w:val="24"/>
              </w:rPr>
            </w:pPr>
            <w:r w:rsidRPr="00311BCA">
              <w:rPr>
                <w:szCs w:val="24"/>
              </w:rPr>
              <w:t>Admission</w:t>
            </w:r>
          </w:p>
        </w:tc>
        <w:tc>
          <w:tcPr>
            <w:tcW w:w="7398" w:type="dxa"/>
          </w:tcPr>
          <w:p w:rsidR="006168AE" w:rsidRPr="00311BCA" w:rsidRDefault="006168AE" w:rsidP="00E36CFC">
            <w:pPr>
              <w:pStyle w:val="ListParagraph"/>
              <w:numPr>
                <w:ilvl w:val="0"/>
                <w:numId w:val="3"/>
              </w:numPr>
              <w:spacing w:line="276" w:lineRule="auto"/>
              <w:ind w:left="162" w:hanging="162"/>
              <w:rPr>
                <w:szCs w:val="24"/>
              </w:rPr>
            </w:pPr>
            <w:r w:rsidRPr="00311BCA">
              <w:rPr>
                <w:szCs w:val="24"/>
              </w:rPr>
              <w:t>Minimum GPA of 2.75 (Undergraduate/Post-Bac); 3.00 (MIT)</w:t>
            </w:r>
          </w:p>
          <w:p w:rsidR="006168AE" w:rsidRPr="00311BCA" w:rsidRDefault="006168AE" w:rsidP="00E36CFC">
            <w:pPr>
              <w:pStyle w:val="ListParagraph"/>
              <w:numPr>
                <w:ilvl w:val="0"/>
                <w:numId w:val="3"/>
              </w:numPr>
              <w:spacing w:line="276" w:lineRule="auto"/>
              <w:ind w:left="162" w:hanging="162"/>
              <w:rPr>
                <w:szCs w:val="24"/>
              </w:rPr>
            </w:pPr>
            <w:r w:rsidRPr="00311BCA">
              <w:rPr>
                <w:szCs w:val="24"/>
              </w:rPr>
              <w:t>Recommendation of endorsement-area faculty</w:t>
            </w:r>
          </w:p>
          <w:p w:rsidR="006168AE" w:rsidRPr="00311BCA" w:rsidRDefault="006168AE" w:rsidP="00E36CFC">
            <w:pPr>
              <w:pStyle w:val="ListParagraph"/>
              <w:numPr>
                <w:ilvl w:val="0"/>
                <w:numId w:val="3"/>
              </w:numPr>
              <w:spacing w:line="276" w:lineRule="auto"/>
              <w:ind w:left="162" w:hanging="162"/>
              <w:rPr>
                <w:szCs w:val="24"/>
              </w:rPr>
            </w:pPr>
            <w:r w:rsidRPr="00311BCA">
              <w:rPr>
                <w:szCs w:val="24"/>
              </w:rPr>
              <w:t>Pass West-B</w:t>
            </w:r>
            <w:r w:rsidR="00DC4508" w:rsidRPr="00311BCA">
              <w:rPr>
                <w:szCs w:val="24"/>
              </w:rPr>
              <w:t xml:space="preserve"> or Appropri</w:t>
            </w:r>
            <w:r w:rsidR="00531304" w:rsidRPr="00311BCA">
              <w:rPr>
                <w:szCs w:val="24"/>
              </w:rPr>
              <w:t>ate SAT/ACT scores</w:t>
            </w:r>
            <w:r w:rsidRPr="00311BCA">
              <w:rPr>
                <w:szCs w:val="24"/>
              </w:rPr>
              <w:t xml:space="preserve"> </w:t>
            </w:r>
          </w:p>
          <w:p w:rsidR="006168AE" w:rsidRPr="00311BCA" w:rsidRDefault="006168AE" w:rsidP="00E36CFC">
            <w:pPr>
              <w:pStyle w:val="ListParagraph"/>
              <w:numPr>
                <w:ilvl w:val="0"/>
                <w:numId w:val="3"/>
              </w:numPr>
              <w:spacing w:line="276" w:lineRule="auto"/>
              <w:ind w:left="162" w:hanging="162"/>
              <w:rPr>
                <w:szCs w:val="24"/>
              </w:rPr>
            </w:pPr>
            <w:r w:rsidRPr="00311BCA">
              <w:rPr>
                <w:szCs w:val="24"/>
              </w:rPr>
              <w:t>Experiences working with adolescents</w:t>
            </w:r>
          </w:p>
          <w:p w:rsidR="006168AE" w:rsidRPr="00311BCA" w:rsidRDefault="006168AE" w:rsidP="00E36CFC">
            <w:pPr>
              <w:pStyle w:val="ListParagraph"/>
              <w:numPr>
                <w:ilvl w:val="0"/>
                <w:numId w:val="3"/>
              </w:numPr>
              <w:spacing w:line="276" w:lineRule="auto"/>
              <w:ind w:left="162" w:hanging="162"/>
              <w:rPr>
                <w:szCs w:val="24"/>
              </w:rPr>
            </w:pPr>
            <w:r w:rsidRPr="00311BCA">
              <w:rPr>
                <w:szCs w:val="24"/>
              </w:rPr>
              <w:t>Experiences with diverse populations</w:t>
            </w:r>
          </w:p>
          <w:p w:rsidR="006168AE" w:rsidRPr="00311BCA" w:rsidRDefault="006168AE" w:rsidP="00E36CFC">
            <w:pPr>
              <w:pStyle w:val="ListParagraph"/>
              <w:spacing w:line="276" w:lineRule="auto"/>
              <w:ind w:left="162"/>
              <w:rPr>
                <w:szCs w:val="24"/>
              </w:rPr>
            </w:pPr>
          </w:p>
        </w:tc>
      </w:tr>
      <w:tr w:rsidR="006168AE" w:rsidRPr="00311BCA" w:rsidTr="00531304">
        <w:tc>
          <w:tcPr>
            <w:tcW w:w="2178" w:type="dxa"/>
          </w:tcPr>
          <w:p w:rsidR="006168AE" w:rsidRPr="00311BCA" w:rsidRDefault="006168AE" w:rsidP="00E36CFC">
            <w:pPr>
              <w:spacing w:line="276" w:lineRule="auto"/>
              <w:rPr>
                <w:szCs w:val="24"/>
              </w:rPr>
            </w:pPr>
            <w:r w:rsidRPr="00311BCA">
              <w:rPr>
                <w:szCs w:val="24"/>
              </w:rPr>
              <w:t>Retention</w:t>
            </w:r>
          </w:p>
        </w:tc>
        <w:tc>
          <w:tcPr>
            <w:tcW w:w="7398" w:type="dxa"/>
          </w:tcPr>
          <w:p w:rsidR="006168AE" w:rsidRPr="00311BCA" w:rsidRDefault="006168AE" w:rsidP="00E36CFC">
            <w:pPr>
              <w:pStyle w:val="ListParagraph"/>
              <w:numPr>
                <w:ilvl w:val="0"/>
                <w:numId w:val="4"/>
              </w:numPr>
              <w:spacing w:line="276" w:lineRule="auto"/>
              <w:ind w:left="162" w:hanging="162"/>
              <w:rPr>
                <w:szCs w:val="24"/>
              </w:rPr>
            </w:pPr>
            <w:r w:rsidRPr="00311BCA">
              <w:rPr>
                <w:szCs w:val="24"/>
              </w:rPr>
              <w:t>Quarterly GPA at or above 2.75 (UG/PB); 3.00 (MIT)</w:t>
            </w:r>
          </w:p>
          <w:p w:rsidR="006168AE" w:rsidRPr="00311BCA" w:rsidRDefault="006168AE" w:rsidP="00E36CFC">
            <w:pPr>
              <w:pStyle w:val="ListParagraph"/>
              <w:numPr>
                <w:ilvl w:val="0"/>
                <w:numId w:val="4"/>
              </w:numPr>
              <w:spacing w:line="276" w:lineRule="auto"/>
              <w:ind w:left="162" w:hanging="162"/>
              <w:rPr>
                <w:szCs w:val="24"/>
              </w:rPr>
            </w:pPr>
            <w:r w:rsidRPr="00311BCA">
              <w:rPr>
                <w:szCs w:val="24"/>
              </w:rPr>
              <w:t xml:space="preserve">Minimum grade of “C” in certification </w:t>
            </w:r>
            <w:r w:rsidR="00531304" w:rsidRPr="00311BCA">
              <w:rPr>
                <w:szCs w:val="24"/>
              </w:rPr>
              <w:t xml:space="preserve">and endorsement </w:t>
            </w:r>
            <w:r w:rsidRPr="00311BCA">
              <w:rPr>
                <w:szCs w:val="24"/>
              </w:rPr>
              <w:t>courses</w:t>
            </w:r>
          </w:p>
          <w:p w:rsidR="006168AE" w:rsidRPr="00311BCA" w:rsidRDefault="006168AE" w:rsidP="00E36CFC">
            <w:pPr>
              <w:pStyle w:val="ListParagraph"/>
              <w:numPr>
                <w:ilvl w:val="0"/>
                <w:numId w:val="4"/>
              </w:numPr>
              <w:spacing w:line="276" w:lineRule="auto"/>
              <w:ind w:left="162" w:hanging="162"/>
              <w:rPr>
                <w:szCs w:val="24"/>
              </w:rPr>
            </w:pPr>
            <w:r w:rsidRPr="00311BCA">
              <w:rPr>
                <w:szCs w:val="24"/>
              </w:rPr>
              <w:t>Practicum performance evaluations</w:t>
            </w:r>
          </w:p>
          <w:p w:rsidR="006168AE" w:rsidRPr="00311BCA" w:rsidRDefault="006168AE" w:rsidP="00E36CFC">
            <w:pPr>
              <w:pStyle w:val="ListParagraph"/>
              <w:numPr>
                <w:ilvl w:val="0"/>
                <w:numId w:val="4"/>
              </w:numPr>
              <w:spacing w:line="276" w:lineRule="auto"/>
              <w:ind w:left="162" w:hanging="162"/>
              <w:rPr>
                <w:szCs w:val="24"/>
              </w:rPr>
            </w:pPr>
            <w:r w:rsidRPr="00311BCA">
              <w:rPr>
                <w:szCs w:val="24"/>
              </w:rPr>
              <w:t>Teacher Performance Assessment preparation (</w:t>
            </w:r>
            <w:proofErr w:type="spellStart"/>
            <w:r w:rsidR="00531304" w:rsidRPr="00311BCA">
              <w:rPr>
                <w:szCs w:val="24"/>
              </w:rPr>
              <w:t>ed</w:t>
            </w:r>
            <w:r w:rsidRPr="00311BCA">
              <w:rPr>
                <w:szCs w:val="24"/>
              </w:rPr>
              <w:t>TPA</w:t>
            </w:r>
            <w:proofErr w:type="spellEnd"/>
            <w:r w:rsidRPr="00311BCA">
              <w:rPr>
                <w:szCs w:val="24"/>
              </w:rPr>
              <w:t>)</w:t>
            </w:r>
          </w:p>
          <w:p w:rsidR="006168AE" w:rsidRPr="00311BCA" w:rsidRDefault="006168AE" w:rsidP="00E36CFC">
            <w:pPr>
              <w:pStyle w:val="ListParagraph"/>
              <w:numPr>
                <w:ilvl w:val="0"/>
                <w:numId w:val="4"/>
              </w:numPr>
              <w:spacing w:line="276" w:lineRule="auto"/>
              <w:ind w:left="162" w:hanging="162"/>
              <w:rPr>
                <w:szCs w:val="24"/>
              </w:rPr>
            </w:pPr>
            <w:r w:rsidRPr="00311BCA">
              <w:rPr>
                <w:szCs w:val="24"/>
              </w:rPr>
              <w:t>Lesson plan assessments</w:t>
            </w:r>
          </w:p>
          <w:p w:rsidR="00531304" w:rsidRPr="00311BCA" w:rsidRDefault="00531304" w:rsidP="00E36CFC">
            <w:pPr>
              <w:pStyle w:val="ListParagraph"/>
              <w:numPr>
                <w:ilvl w:val="0"/>
                <w:numId w:val="4"/>
              </w:numPr>
              <w:spacing w:line="276" w:lineRule="auto"/>
              <w:ind w:left="162" w:hanging="162"/>
              <w:rPr>
                <w:szCs w:val="24"/>
              </w:rPr>
            </w:pPr>
            <w:r w:rsidRPr="00311BCA">
              <w:rPr>
                <w:szCs w:val="24"/>
              </w:rPr>
              <w:t>Guided teach assessments</w:t>
            </w:r>
          </w:p>
          <w:p w:rsidR="006168AE" w:rsidRPr="00311BCA" w:rsidRDefault="006168AE" w:rsidP="00E36CFC">
            <w:pPr>
              <w:pStyle w:val="ListParagraph"/>
              <w:numPr>
                <w:ilvl w:val="0"/>
                <w:numId w:val="4"/>
              </w:numPr>
              <w:spacing w:line="276" w:lineRule="auto"/>
              <w:ind w:left="162" w:hanging="162"/>
              <w:rPr>
                <w:szCs w:val="24"/>
              </w:rPr>
            </w:pPr>
            <w:r w:rsidRPr="00311BCA">
              <w:rPr>
                <w:szCs w:val="24"/>
              </w:rPr>
              <w:t>Professionalism assessments</w:t>
            </w:r>
          </w:p>
          <w:p w:rsidR="006168AE" w:rsidRPr="00311BCA" w:rsidRDefault="006168AE" w:rsidP="00E36CFC">
            <w:pPr>
              <w:pStyle w:val="ListParagraph"/>
              <w:spacing w:line="276" w:lineRule="auto"/>
              <w:ind w:left="162"/>
              <w:rPr>
                <w:szCs w:val="24"/>
              </w:rPr>
            </w:pPr>
          </w:p>
        </w:tc>
      </w:tr>
      <w:tr w:rsidR="006168AE" w:rsidRPr="00311BCA" w:rsidTr="00531304">
        <w:tc>
          <w:tcPr>
            <w:tcW w:w="2178" w:type="dxa"/>
          </w:tcPr>
          <w:p w:rsidR="006168AE" w:rsidRPr="00311BCA" w:rsidRDefault="006168AE" w:rsidP="00E36CFC">
            <w:pPr>
              <w:spacing w:line="276" w:lineRule="auto"/>
              <w:rPr>
                <w:szCs w:val="24"/>
              </w:rPr>
            </w:pPr>
            <w:r w:rsidRPr="00311BCA">
              <w:rPr>
                <w:szCs w:val="24"/>
              </w:rPr>
              <w:t>Entry to Fulltime Internship</w:t>
            </w:r>
          </w:p>
        </w:tc>
        <w:tc>
          <w:tcPr>
            <w:tcW w:w="7398" w:type="dxa"/>
          </w:tcPr>
          <w:p w:rsidR="006168AE" w:rsidRPr="00311BCA" w:rsidRDefault="006168AE" w:rsidP="00E36CFC">
            <w:pPr>
              <w:pStyle w:val="ListParagraph"/>
              <w:numPr>
                <w:ilvl w:val="0"/>
                <w:numId w:val="4"/>
              </w:numPr>
              <w:spacing w:line="276" w:lineRule="auto"/>
              <w:ind w:left="162" w:hanging="162"/>
              <w:rPr>
                <w:szCs w:val="24"/>
              </w:rPr>
            </w:pPr>
            <w:r w:rsidRPr="00311BCA">
              <w:rPr>
                <w:szCs w:val="24"/>
              </w:rPr>
              <w:t>Quarterly GPA at or above 2.75 (UG/PB); 3.00 (MIT)</w:t>
            </w:r>
          </w:p>
          <w:p w:rsidR="006168AE" w:rsidRPr="00311BCA" w:rsidRDefault="006168AE" w:rsidP="00E36CFC">
            <w:pPr>
              <w:pStyle w:val="ListParagraph"/>
              <w:numPr>
                <w:ilvl w:val="0"/>
                <w:numId w:val="4"/>
              </w:numPr>
              <w:spacing w:line="276" w:lineRule="auto"/>
              <w:ind w:left="162" w:hanging="162"/>
              <w:rPr>
                <w:szCs w:val="24"/>
              </w:rPr>
            </w:pPr>
            <w:r w:rsidRPr="00311BCA">
              <w:rPr>
                <w:szCs w:val="24"/>
              </w:rPr>
              <w:t>Minimum grade of “C” in certification courses</w:t>
            </w:r>
          </w:p>
          <w:p w:rsidR="006168AE" w:rsidRPr="00311BCA" w:rsidRDefault="006168AE" w:rsidP="00E36CFC">
            <w:pPr>
              <w:pStyle w:val="ListParagraph"/>
              <w:numPr>
                <w:ilvl w:val="0"/>
                <w:numId w:val="4"/>
              </w:numPr>
              <w:spacing w:line="276" w:lineRule="auto"/>
              <w:ind w:left="162" w:hanging="162"/>
              <w:rPr>
                <w:szCs w:val="24"/>
              </w:rPr>
            </w:pPr>
            <w:r w:rsidRPr="00311BCA">
              <w:rPr>
                <w:szCs w:val="24"/>
              </w:rPr>
              <w:t>West-E score of 240</w:t>
            </w:r>
          </w:p>
          <w:p w:rsidR="006168AE" w:rsidRPr="00311BCA" w:rsidRDefault="006168AE" w:rsidP="00E36CFC">
            <w:pPr>
              <w:pStyle w:val="ListParagraph"/>
              <w:numPr>
                <w:ilvl w:val="0"/>
                <w:numId w:val="4"/>
              </w:numPr>
              <w:spacing w:line="276" w:lineRule="auto"/>
              <w:ind w:left="162" w:hanging="162"/>
              <w:rPr>
                <w:szCs w:val="24"/>
              </w:rPr>
            </w:pPr>
            <w:r w:rsidRPr="00311BCA">
              <w:rPr>
                <w:szCs w:val="24"/>
              </w:rPr>
              <w:t>Practicum performance evaluations</w:t>
            </w:r>
          </w:p>
          <w:p w:rsidR="006168AE" w:rsidRPr="00311BCA" w:rsidRDefault="006168AE" w:rsidP="00E36CFC">
            <w:pPr>
              <w:pStyle w:val="ListParagraph"/>
              <w:numPr>
                <w:ilvl w:val="0"/>
                <w:numId w:val="4"/>
              </w:numPr>
              <w:spacing w:line="276" w:lineRule="auto"/>
              <w:ind w:left="162" w:hanging="162"/>
              <w:rPr>
                <w:szCs w:val="24"/>
              </w:rPr>
            </w:pPr>
            <w:r w:rsidRPr="00311BCA">
              <w:rPr>
                <w:szCs w:val="24"/>
              </w:rPr>
              <w:t>Professionalism assessment</w:t>
            </w:r>
          </w:p>
          <w:p w:rsidR="006168AE" w:rsidRPr="00311BCA" w:rsidRDefault="006168AE" w:rsidP="00E36CFC">
            <w:pPr>
              <w:pStyle w:val="ListParagraph"/>
              <w:spacing w:line="276" w:lineRule="auto"/>
              <w:ind w:left="162"/>
              <w:rPr>
                <w:szCs w:val="24"/>
              </w:rPr>
            </w:pPr>
          </w:p>
        </w:tc>
      </w:tr>
      <w:tr w:rsidR="006168AE" w:rsidRPr="00311BCA" w:rsidTr="00531304">
        <w:tc>
          <w:tcPr>
            <w:tcW w:w="2178" w:type="dxa"/>
          </w:tcPr>
          <w:p w:rsidR="006168AE" w:rsidRPr="00311BCA" w:rsidRDefault="006168AE" w:rsidP="00E36CFC">
            <w:pPr>
              <w:spacing w:line="276" w:lineRule="auto"/>
              <w:rPr>
                <w:szCs w:val="24"/>
              </w:rPr>
            </w:pPr>
            <w:r w:rsidRPr="00311BCA">
              <w:rPr>
                <w:szCs w:val="24"/>
              </w:rPr>
              <w:t>Completion</w:t>
            </w:r>
          </w:p>
        </w:tc>
        <w:tc>
          <w:tcPr>
            <w:tcW w:w="7398" w:type="dxa"/>
          </w:tcPr>
          <w:p w:rsidR="006168AE" w:rsidRPr="00311BCA" w:rsidRDefault="00531304" w:rsidP="00E36CFC">
            <w:pPr>
              <w:pStyle w:val="ListParagraph"/>
              <w:numPr>
                <w:ilvl w:val="0"/>
                <w:numId w:val="5"/>
              </w:numPr>
              <w:spacing w:line="276" w:lineRule="auto"/>
              <w:ind w:left="162" w:hanging="162"/>
              <w:rPr>
                <w:szCs w:val="24"/>
              </w:rPr>
            </w:pPr>
            <w:proofErr w:type="spellStart"/>
            <w:r w:rsidRPr="00311BCA">
              <w:rPr>
                <w:szCs w:val="24"/>
              </w:rPr>
              <w:t>edTPA</w:t>
            </w:r>
            <w:proofErr w:type="spellEnd"/>
            <w:r w:rsidRPr="00311BCA">
              <w:rPr>
                <w:szCs w:val="24"/>
              </w:rPr>
              <w:t xml:space="preserve"> c</w:t>
            </w:r>
            <w:r w:rsidR="006168AE" w:rsidRPr="00311BCA">
              <w:rPr>
                <w:szCs w:val="24"/>
              </w:rPr>
              <w:t>ompletion</w:t>
            </w:r>
            <w:r w:rsidRPr="00311BCA">
              <w:rPr>
                <w:szCs w:val="24"/>
              </w:rPr>
              <w:t xml:space="preserve"> at a compensatory score of 35 (30 for MCL)</w:t>
            </w:r>
          </w:p>
          <w:p w:rsidR="006168AE" w:rsidRPr="00311BCA" w:rsidRDefault="006168AE" w:rsidP="00E36CFC">
            <w:pPr>
              <w:pStyle w:val="ListParagraph"/>
              <w:numPr>
                <w:ilvl w:val="0"/>
                <w:numId w:val="5"/>
              </w:numPr>
              <w:spacing w:line="276" w:lineRule="auto"/>
              <w:ind w:left="162" w:hanging="162"/>
            </w:pPr>
            <w:r w:rsidRPr="00311BCA">
              <w:t xml:space="preserve">Intern Development and Evaluation System (IDES) </w:t>
            </w:r>
          </w:p>
          <w:p w:rsidR="006168AE" w:rsidRPr="00311BCA" w:rsidRDefault="006168AE" w:rsidP="00E36CFC">
            <w:pPr>
              <w:pStyle w:val="ListParagraph"/>
              <w:numPr>
                <w:ilvl w:val="0"/>
                <w:numId w:val="5"/>
              </w:numPr>
              <w:spacing w:line="276" w:lineRule="auto"/>
              <w:ind w:left="162" w:hanging="162"/>
              <w:rPr>
                <w:szCs w:val="24"/>
              </w:rPr>
            </w:pPr>
            <w:r w:rsidRPr="00311BCA">
              <w:rPr>
                <w:szCs w:val="24"/>
              </w:rPr>
              <w:t>Internship evaluations</w:t>
            </w:r>
          </w:p>
          <w:p w:rsidR="006168AE" w:rsidRPr="00311BCA" w:rsidRDefault="006168AE" w:rsidP="00E36CFC">
            <w:pPr>
              <w:pStyle w:val="ListParagraph"/>
              <w:numPr>
                <w:ilvl w:val="0"/>
                <w:numId w:val="5"/>
              </w:numPr>
              <w:spacing w:line="276" w:lineRule="auto"/>
              <w:ind w:left="162" w:hanging="162"/>
              <w:rPr>
                <w:szCs w:val="24"/>
              </w:rPr>
            </w:pPr>
            <w:r w:rsidRPr="00311BCA">
              <w:rPr>
                <w:szCs w:val="24"/>
              </w:rPr>
              <w:t>Capstone Research Paper (MIT only)</w:t>
            </w:r>
          </w:p>
          <w:p w:rsidR="006168AE" w:rsidRPr="00311BCA" w:rsidRDefault="006168AE" w:rsidP="00E36CFC">
            <w:pPr>
              <w:pStyle w:val="ListParagraph"/>
              <w:numPr>
                <w:ilvl w:val="0"/>
                <w:numId w:val="5"/>
              </w:numPr>
              <w:spacing w:line="276" w:lineRule="auto"/>
              <w:ind w:left="162" w:hanging="162"/>
              <w:rPr>
                <w:szCs w:val="24"/>
              </w:rPr>
            </w:pPr>
            <w:proofErr w:type="spellStart"/>
            <w:r w:rsidRPr="00311BCA">
              <w:rPr>
                <w:szCs w:val="24"/>
              </w:rPr>
              <w:t>Woodring</w:t>
            </w:r>
            <w:proofErr w:type="spellEnd"/>
            <w:r w:rsidRPr="00311BCA">
              <w:rPr>
                <w:szCs w:val="24"/>
              </w:rPr>
              <w:t xml:space="preserve"> Internship Exit Survey</w:t>
            </w:r>
          </w:p>
          <w:p w:rsidR="006168AE" w:rsidRPr="00311BCA" w:rsidRDefault="006168AE" w:rsidP="00E36CFC">
            <w:pPr>
              <w:spacing w:line="276" w:lineRule="auto"/>
              <w:ind w:left="162" w:hanging="162"/>
              <w:rPr>
                <w:szCs w:val="24"/>
              </w:rPr>
            </w:pPr>
          </w:p>
        </w:tc>
      </w:tr>
      <w:tr w:rsidR="006168AE" w:rsidRPr="00311BCA" w:rsidTr="00531304">
        <w:trPr>
          <w:trHeight w:val="107"/>
        </w:trPr>
        <w:tc>
          <w:tcPr>
            <w:tcW w:w="2178" w:type="dxa"/>
          </w:tcPr>
          <w:p w:rsidR="006168AE" w:rsidRPr="00311BCA" w:rsidRDefault="006168AE" w:rsidP="00E36CFC">
            <w:pPr>
              <w:spacing w:line="276" w:lineRule="auto"/>
              <w:rPr>
                <w:szCs w:val="24"/>
              </w:rPr>
            </w:pPr>
            <w:r w:rsidRPr="00311BCA">
              <w:rPr>
                <w:szCs w:val="24"/>
              </w:rPr>
              <w:lastRenderedPageBreak/>
              <w:t>Post Completion</w:t>
            </w:r>
          </w:p>
        </w:tc>
        <w:tc>
          <w:tcPr>
            <w:tcW w:w="7398" w:type="dxa"/>
          </w:tcPr>
          <w:p w:rsidR="006168AE" w:rsidRPr="00311BCA" w:rsidRDefault="006168AE" w:rsidP="00E36CFC">
            <w:pPr>
              <w:pStyle w:val="ListParagraph"/>
              <w:numPr>
                <w:ilvl w:val="0"/>
                <w:numId w:val="6"/>
              </w:numPr>
              <w:spacing w:line="276" w:lineRule="auto"/>
              <w:ind w:left="162" w:hanging="162"/>
              <w:rPr>
                <w:szCs w:val="24"/>
              </w:rPr>
            </w:pPr>
            <w:r w:rsidRPr="00311BCA">
              <w:rPr>
                <w:szCs w:val="24"/>
              </w:rPr>
              <w:t xml:space="preserve">Career Services Center Placement Survey </w:t>
            </w:r>
          </w:p>
          <w:p w:rsidR="006168AE" w:rsidRPr="00311BCA" w:rsidRDefault="006168AE" w:rsidP="00E36CFC">
            <w:pPr>
              <w:pStyle w:val="ListParagraph"/>
              <w:numPr>
                <w:ilvl w:val="0"/>
                <w:numId w:val="6"/>
              </w:numPr>
              <w:spacing w:line="276" w:lineRule="auto"/>
              <w:ind w:left="162" w:hanging="162"/>
              <w:rPr>
                <w:szCs w:val="24"/>
              </w:rPr>
            </w:pPr>
            <w:proofErr w:type="spellStart"/>
            <w:r w:rsidRPr="00311BCA">
              <w:rPr>
                <w:szCs w:val="24"/>
              </w:rPr>
              <w:t>Woodring</w:t>
            </w:r>
            <w:proofErr w:type="spellEnd"/>
            <w:r w:rsidRPr="00311BCA">
              <w:rPr>
                <w:szCs w:val="24"/>
              </w:rPr>
              <w:t xml:space="preserve"> 1st and 3rd Year Follow-up Studies (2011) </w:t>
            </w:r>
          </w:p>
          <w:p w:rsidR="006168AE" w:rsidRPr="00311BCA" w:rsidRDefault="006168AE" w:rsidP="00E36CFC">
            <w:pPr>
              <w:pStyle w:val="ListParagraph"/>
              <w:numPr>
                <w:ilvl w:val="0"/>
                <w:numId w:val="6"/>
              </w:numPr>
              <w:spacing w:line="276" w:lineRule="auto"/>
              <w:ind w:left="162" w:hanging="162"/>
              <w:rPr>
                <w:szCs w:val="24"/>
              </w:rPr>
            </w:pPr>
            <w:r w:rsidRPr="00311BCA">
              <w:rPr>
                <w:szCs w:val="24"/>
              </w:rPr>
              <w:t xml:space="preserve">EBI Survey of Alumni and Principals </w:t>
            </w:r>
          </w:p>
          <w:p w:rsidR="006168AE" w:rsidRPr="00311BCA" w:rsidRDefault="006168AE" w:rsidP="00E36CFC">
            <w:pPr>
              <w:spacing w:line="276" w:lineRule="auto"/>
              <w:ind w:left="162" w:hanging="162"/>
              <w:rPr>
                <w:szCs w:val="24"/>
              </w:rPr>
            </w:pPr>
          </w:p>
        </w:tc>
      </w:tr>
    </w:tbl>
    <w:p w:rsidR="006168AE" w:rsidRPr="00311BCA" w:rsidRDefault="006168AE" w:rsidP="00E36CFC">
      <w:pPr>
        <w:spacing w:line="276" w:lineRule="auto"/>
        <w:rPr>
          <w:szCs w:val="24"/>
          <w:u w:val="single"/>
        </w:rPr>
      </w:pPr>
    </w:p>
    <w:p w:rsidR="00B80AE6" w:rsidRPr="00311BCA" w:rsidRDefault="00B80AE6" w:rsidP="00E36CFC">
      <w:pPr>
        <w:spacing w:line="276" w:lineRule="auto"/>
        <w:rPr>
          <w:rFonts w:ascii="Times New Roman" w:hAnsi="Times New Roman"/>
          <w:u w:val="single"/>
        </w:rPr>
      </w:pPr>
    </w:p>
    <w:p w:rsidR="00BC451E" w:rsidRPr="00311BCA" w:rsidRDefault="00BC451E" w:rsidP="00E36CFC">
      <w:pPr>
        <w:spacing w:line="276" w:lineRule="auto"/>
        <w:rPr>
          <w:rFonts w:ascii="Times New Roman" w:hAnsi="Times New Roman"/>
          <w:u w:val="single"/>
        </w:rPr>
      </w:pPr>
      <w:r w:rsidRPr="00311BCA">
        <w:rPr>
          <w:rFonts w:ascii="Times New Roman" w:hAnsi="Times New Roman"/>
          <w:u w:val="single"/>
        </w:rPr>
        <w:t>Section 2:  Use of Data for Improvements of Programs and/or Operations: Three key assessments</w:t>
      </w:r>
    </w:p>
    <w:p w:rsidR="00793645" w:rsidRPr="00311BCA" w:rsidRDefault="00793645" w:rsidP="00E36CFC">
      <w:pPr>
        <w:spacing w:line="276" w:lineRule="auto"/>
        <w:rPr>
          <w:rFonts w:ascii="Times New Roman" w:hAnsi="Times New Roman"/>
          <w:u w:val="single"/>
        </w:rPr>
      </w:pPr>
    </w:p>
    <w:p w:rsidR="001D404B" w:rsidRPr="00311BCA" w:rsidRDefault="001D404B" w:rsidP="00552966">
      <w:pPr>
        <w:pStyle w:val="ListParagraph"/>
        <w:numPr>
          <w:ilvl w:val="0"/>
          <w:numId w:val="21"/>
        </w:numPr>
        <w:spacing w:line="276" w:lineRule="auto"/>
      </w:pPr>
      <w:r w:rsidRPr="00311BCA">
        <w:t xml:space="preserve">During the 2016-2017 and 2017-2018 school years, the Secondary Education Department has begun to </w:t>
      </w:r>
      <w:r w:rsidR="00C670D8" w:rsidRPr="00311BCA">
        <w:t>implement new application requirements and interview processes for applicants to the MIT program and Undergraduate and Post-Bac programs.  New application requirements for applicants to the program include asking students to begin to provide documentation of a minimum</w:t>
      </w:r>
      <w:r w:rsidR="00AC7686">
        <w:t xml:space="preserve"> number</w:t>
      </w:r>
      <w:r w:rsidR="00C670D8" w:rsidRPr="00311BCA">
        <w:t xml:space="preserve"> of hours with work with youth in school or community</w:t>
      </w:r>
      <w:r w:rsidR="00C21D7B" w:rsidRPr="00311BCA">
        <w:t>-based settings</w:t>
      </w:r>
      <w:r w:rsidR="00793645" w:rsidRPr="00311BCA">
        <w:t xml:space="preserve"> and </w:t>
      </w:r>
      <w:r w:rsidR="00C21D7B" w:rsidRPr="00311BCA">
        <w:t xml:space="preserve">application </w:t>
      </w:r>
      <w:r w:rsidR="00793645" w:rsidRPr="00311BCA">
        <w:t xml:space="preserve">essays that </w:t>
      </w:r>
      <w:r w:rsidR="00C21D7B" w:rsidRPr="00311BCA">
        <w:t xml:space="preserve">ask applicants to </w:t>
      </w:r>
      <w:r w:rsidR="00793645" w:rsidRPr="00311BCA">
        <w:t>connect their</w:t>
      </w:r>
      <w:r w:rsidR="00C21D7B" w:rsidRPr="00311BCA">
        <w:t xml:space="preserve"> future</w:t>
      </w:r>
      <w:r w:rsidR="00793645" w:rsidRPr="00311BCA">
        <w:t xml:space="preserve"> practice</w:t>
      </w:r>
      <w:r w:rsidR="00C21D7B" w:rsidRPr="00311BCA">
        <w:t xml:space="preserve"> as a teacher</w:t>
      </w:r>
      <w:r w:rsidR="00793645" w:rsidRPr="00311BCA">
        <w:t xml:space="preserve"> to the creation of more just, equitable learning conditions for youth.  In addition, applicants take part in a m</w:t>
      </w:r>
      <w:r w:rsidR="00C21D7B" w:rsidRPr="00311BCA">
        <w:t>ore focused on-campus day-long</w:t>
      </w:r>
      <w:r w:rsidR="00F11234">
        <w:t xml:space="preserve"> interview</w:t>
      </w:r>
      <w:r w:rsidR="00C21D7B" w:rsidRPr="00311BCA">
        <w:t xml:space="preserve"> </w:t>
      </w:r>
      <w:r w:rsidR="001F0FD4" w:rsidRPr="00311BCA">
        <w:t xml:space="preserve">in which </w:t>
      </w:r>
      <w:r w:rsidR="00AC7686">
        <w:t>they</w:t>
      </w:r>
      <w:r w:rsidR="001F0FD4" w:rsidRPr="00311BCA">
        <w:t xml:space="preserve"> engage in a series of activities designed to highlight the ways in which </w:t>
      </w:r>
      <w:r w:rsidR="00AC7686">
        <w:t>they</w:t>
      </w:r>
      <w:r w:rsidR="001F0FD4" w:rsidRPr="00311BCA">
        <w:t xml:space="preserve"> think about and operationalize justice-oriented theory and practice in their own future classrooms.</w:t>
      </w:r>
      <w:r w:rsidR="00C21D7B" w:rsidRPr="00311BCA">
        <w:t xml:space="preserve">  These activities include a group interview process in which candidates discuss prompts about a reading the applicants had been provided prior to the interview day and </w:t>
      </w:r>
      <w:r w:rsidR="00AC7686">
        <w:t xml:space="preserve">school data they see for the first time during they interview.  Applicant </w:t>
      </w:r>
      <w:r w:rsidR="00C21D7B" w:rsidRPr="00311BCA">
        <w:t>also</w:t>
      </w:r>
      <w:r w:rsidR="00AC7686">
        <w:t xml:space="preserve"> are complete</w:t>
      </w:r>
      <w:r w:rsidR="00C21D7B" w:rsidRPr="00311BCA">
        <w:t xml:space="preserve"> a one-to-one interview with a faculty member in the Secondary Education Department.</w:t>
      </w:r>
    </w:p>
    <w:p w:rsidR="001F0FD4" w:rsidRPr="00311BCA" w:rsidRDefault="001F0FD4" w:rsidP="001F0FD4">
      <w:pPr>
        <w:spacing w:line="276" w:lineRule="auto"/>
      </w:pPr>
    </w:p>
    <w:p w:rsidR="00AA6DE6" w:rsidRPr="00311BCA" w:rsidRDefault="001F0FD4" w:rsidP="00D41ED3">
      <w:pPr>
        <w:spacing w:line="276" w:lineRule="auto"/>
        <w:ind w:left="720"/>
      </w:pPr>
      <w:r w:rsidRPr="00311BCA">
        <w:t xml:space="preserve">As </w:t>
      </w:r>
      <w:r w:rsidR="00AA6DE6" w:rsidRPr="00311BCA">
        <w:t>we continue to engage in more focused tasks and prompts related to our application process for prospective candidates</w:t>
      </w:r>
      <w:r w:rsidR="00EA092E" w:rsidRPr="00311BCA">
        <w:t xml:space="preserve"> through the next few application cycles</w:t>
      </w:r>
      <w:r w:rsidR="00AA6DE6" w:rsidRPr="00311BCA">
        <w:t xml:space="preserve">, we are interested in continuing to collect data on all of the applicants who apply to our program </w:t>
      </w:r>
      <w:r w:rsidR="00F11234">
        <w:t>but specifically on</w:t>
      </w:r>
      <w:r w:rsidR="00AA6DE6" w:rsidRPr="00311BCA">
        <w:t xml:space="preserve"> the applicants we eventually a</w:t>
      </w:r>
      <w:r w:rsidR="00EA092E" w:rsidRPr="00311BCA">
        <w:t>ccept into the program and to examine the data patterns of those students we accept.  Data</w:t>
      </w:r>
      <w:r w:rsidR="00F11234">
        <w:t xml:space="preserve"> patterns</w:t>
      </w:r>
      <w:r w:rsidR="00EA092E" w:rsidRPr="00311BCA">
        <w:t xml:space="preserve"> to examine further include the scores for those students we accept in comparison with the scores of students we do not accept on the essays they submit as part of their application, the scores they receive from faculty on the group activities they engage in on their interview day, and the one-on-one interview scores they receive when they meet with faculty.  Additional data to possibly analyze include </w:t>
      </w:r>
      <w:r w:rsidR="00D41ED3" w:rsidRPr="00311BCA">
        <w:t xml:space="preserve">the </w:t>
      </w:r>
      <w:proofErr w:type="spellStart"/>
      <w:r w:rsidR="00D41ED3" w:rsidRPr="00311BCA">
        <w:t>edTPA</w:t>
      </w:r>
      <w:proofErr w:type="spellEnd"/>
      <w:r w:rsidR="00D41ED3" w:rsidRPr="00311BCA">
        <w:t xml:space="preserve"> scores of applicants we accept into the program before we instituted these changes to the application process as compared to the </w:t>
      </w:r>
      <w:proofErr w:type="spellStart"/>
      <w:r w:rsidR="00D41ED3" w:rsidRPr="00311BCA">
        <w:t>edTPA</w:t>
      </w:r>
      <w:proofErr w:type="spellEnd"/>
      <w:r w:rsidR="00D41ED3" w:rsidRPr="00311BCA">
        <w:t xml:space="preserve"> scores of applicants we accepted into the program after we’ve instituted these changes to the application process.</w:t>
      </w:r>
    </w:p>
    <w:p w:rsidR="00203903" w:rsidRPr="00311BCA" w:rsidRDefault="00203903" w:rsidP="00D41ED3">
      <w:pPr>
        <w:spacing w:line="276" w:lineRule="auto"/>
        <w:ind w:left="720"/>
      </w:pPr>
    </w:p>
    <w:p w:rsidR="00203903" w:rsidRPr="00F11234" w:rsidRDefault="00203903" w:rsidP="00F11234">
      <w:pPr>
        <w:pStyle w:val="ListParagraph"/>
        <w:numPr>
          <w:ilvl w:val="0"/>
          <w:numId w:val="21"/>
        </w:numPr>
        <w:spacing w:line="276" w:lineRule="auto"/>
        <w:rPr>
          <w:szCs w:val="24"/>
        </w:rPr>
      </w:pPr>
      <w:r w:rsidRPr="00311BCA">
        <w:rPr>
          <w:szCs w:val="24"/>
        </w:rPr>
        <w:t>One area we need to continue to collect data on and do research on is our efforts</w:t>
      </w:r>
      <w:r w:rsidR="00F52E6C" w:rsidRPr="00311BCA">
        <w:rPr>
          <w:szCs w:val="24"/>
        </w:rPr>
        <w:t xml:space="preserve"> as a department</w:t>
      </w:r>
      <w:r w:rsidRPr="00311BCA">
        <w:rPr>
          <w:szCs w:val="24"/>
        </w:rPr>
        <w:t xml:space="preserve"> at recruitment and retention.  During the 2016-2017 year, we invited Nat Reilly, the Recruitment and Retention Specialist for the Wooding College of Education, to visit our Secondary Education Department meetings multiple times.  We, as a department, wanted to better understand recruitment and retention as an ongoing process that we as a unit should be engaged in and what </w:t>
      </w:r>
      <w:r w:rsidRPr="00311BCA">
        <w:rPr>
          <w:szCs w:val="24"/>
        </w:rPr>
        <w:lastRenderedPageBreak/>
        <w:t xml:space="preserve">trends were happening in terms of possible </w:t>
      </w:r>
      <w:r w:rsidR="00F52E6C" w:rsidRPr="00311BCA">
        <w:rPr>
          <w:szCs w:val="24"/>
        </w:rPr>
        <w:t>applicants from the incoming freshmen class for the 2017-2018 school year.  Informed by this research, the department made some initial efforts this year at intentionally building connections to fre</w:t>
      </w:r>
      <w:r w:rsidR="00275AB5" w:rsidRPr="00311BCA">
        <w:rPr>
          <w:szCs w:val="24"/>
        </w:rPr>
        <w:t xml:space="preserve">shmen students who have shown an interest in applying for the Secondary Education Department </w:t>
      </w:r>
      <w:r w:rsidRPr="00F11234">
        <w:rPr>
          <w:szCs w:val="24"/>
        </w:rPr>
        <w:t>during meet and greet sessions.  Meeting with Nat Reilly, Recruitment and Retention Specialist,</w:t>
      </w:r>
      <w:r w:rsidR="007877A2" w:rsidRPr="00F11234">
        <w:rPr>
          <w:szCs w:val="24"/>
        </w:rPr>
        <w:t xml:space="preserve"> we need</w:t>
      </w:r>
      <w:r w:rsidRPr="00F11234">
        <w:rPr>
          <w:szCs w:val="24"/>
        </w:rPr>
        <w:t xml:space="preserve"> to continue to consider how we can make </w:t>
      </w:r>
      <w:r w:rsidR="007877A2" w:rsidRPr="00F11234">
        <w:rPr>
          <w:szCs w:val="24"/>
        </w:rPr>
        <w:t xml:space="preserve">additional </w:t>
      </w:r>
      <w:r w:rsidRPr="00F11234">
        <w:rPr>
          <w:szCs w:val="24"/>
        </w:rPr>
        <w:t>changes to our program to support underrepresented students including more focused pre-advising, support for students needing to complete their West-E exams, and ongoing communication with potential applicants to the program who come from underrepresented groups.</w:t>
      </w:r>
    </w:p>
    <w:p w:rsidR="007877A2" w:rsidRPr="00311BCA" w:rsidRDefault="007877A2" w:rsidP="0021608F">
      <w:pPr>
        <w:pStyle w:val="ListParagraph"/>
        <w:spacing w:line="276" w:lineRule="auto"/>
        <w:rPr>
          <w:szCs w:val="24"/>
        </w:rPr>
      </w:pPr>
    </w:p>
    <w:p w:rsidR="000D0334" w:rsidRPr="00311BCA" w:rsidRDefault="007877A2" w:rsidP="00311BCA">
      <w:pPr>
        <w:pStyle w:val="ListParagraph"/>
        <w:spacing w:line="276" w:lineRule="auto"/>
        <w:rPr>
          <w:szCs w:val="24"/>
        </w:rPr>
      </w:pPr>
      <w:r w:rsidRPr="00311BCA">
        <w:rPr>
          <w:szCs w:val="24"/>
        </w:rPr>
        <w:t xml:space="preserve">Additionally, once students begin to apply </w:t>
      </w:r>
      <w:r w:rsidR="00311BCA" w:rsidRPr="00311BCA">
        <w:rPr>
          <w:szCs w:val="24"/>
        </w:rPr>
        <w:t xml:space="preserve">for the program, we also need to consider possible ways to gather data on these applicants and teacher candidates over time.  How we can ensure that these students who have shown initial interest do indeed apply to our Secondary Education Program?  </w:t>
      </w:r>
      <w:r w:rsidR="00203903" w:rsidRPr="00311BCA">
        <w:t>How can we</w:t>
      </w:r>
      <w:r w:rsidR="00311BCA" w:rsidRPr="00311BCA">
        <w:t xml:space="preserve"> also</w:t>
      </w:r>
      <w:r w:rsidR="00203903" w:rsidRPr="00311BCA">
        <w:t xml:space="preserve"> better support these students as they move through their undergraduate program so that they are in a position to apply</w:t>
      </w:r>
      <w:r w:rsidR="00F11234">
        <w:t xml:space="preserve"> once they have completed their disciplinary area requirements</w:t>
      </w:r>
      <w:r w:rsidR="00203903" w:rsidRPr="00311BCA">
        <w:t xml:space="preserve"> and</w:t>
      </w:r>
      <w:r w:rsidR="00F11234">
        <w:t xml:space="preserve"> also</w:t>
      </w:r>
      <w:r w:rsidR="00203903" w:rsidRPr="00311BCA">
        <w:t xml:space="preserve"> succeed once they are</w:t>
      </w:r>
      <w:r w:rsidR="00F11234">
        <w:t xml:space="preserve"> accepted</w:t>
      </w:r>
      <w:r w:rsidR="00203903" w:rsidRPr="00311BCA">
        <w:t xml:space="preserve"> in</w:t>
      </w:r>
      <w:r w:rsidR="00F11234">
        <w:t>to</w:t>
      </w:r>
      <w:r w:rsidR="00203903" w:rsidRPr="00311BCA">
        <w:t xml:space="preserve"> the </w:t>
      </w:r>
      <w:r w:rsidR="00F11234">
        <w:t>Secondary Education P</w:t>
      </w:r>
      <w:r w:rsidR="00203903" w:rsidRPr="00311BCA">
        <w:t>rogram?</w:t>
      </w:r>
    </w:p>
    <w:p w:rsidR="000F10CB" w:rsidRPr="00311BCA" w:rsidRDefault="000F10CB" w:rsidP="00E36CFC">
      <w:pPr>
        <w:spacing w:line="276" w:lineRule="auto"/>
        <w:rPr>
          <w:color w:val="000000"/>
        </w:rPr>
      </w:pPr>
    </w:p>
    <w:p w:rsidR="00AA6DE6" w:rsidRPr="00F11234" w:rsidRDefault="006C520C" w:rsidP="00AA6DE6">
      <w:pPr>
        <w:pStyle w:val="ListParagraph"/>
        <w:numPr>
          <w:ilvl w:val="0"/>
          <w:numId w:val="21"/>
        </w:numPr>
        <w:pBdr>
          <w:bottom w:val="single" w:sz="6" w:space="31" w:color="auto"/>
        </w:pBdr>
        <w:spacing w:line="276" w:lineRule="auto"/>
        <w:rPr>
          <w:color w:val="000000"/>
        </w:rPr>
      </w:pPr>
      <w:r w:rsidRPr="00311BCA">
        <w:rPr>
          <w:color w:val="000000"/>
        </w:rPr>
        <w:t xml:space="preserve">Beginning </w:t>
      </w:r>
      <w:proofErr w:type="gramStart"/>
      <w:r w:rsidRPr="00311BCA">
        <w:rPr>
          <w:color w:val="000000"/>
        </w:rPr>
        <w:t>Winter</w:t>
      </w:r>
      <w:proofErr w:type="gramEnd"/>
      <w:r w:rsidRPr="00311BCA">
        <w:rPr>
          <w:color w:val="000000"/>
        </w:rPr>
        <w:t>, 2016</w:t>
      </w:r>
      <w:r w:rsidR="00C274A1" w:rsidRPr="00311BCA">
        <w:rPr>
          <w:color w:val="000000"/>
        </w:rPr>
        <w:t xml:space="preserve"> we ran a pilot project of our UG/PB program at </w:t>
      </w:r>
      <w:proofErr w:type="spellStart"/>
      <w:r w:rsidR="00C274A1" w:rsidRPr="00311BCA">
        <w:rPr>
          <w:color w:val="000000"/>
        </w:rPr>
        <w:t>Kulshan</w:t>
      </w:r>
      <w:proofErr w:type="spellEnd"/>
      <w:r w:rsidR="00C274A1" w:rsidRPr="00311BCA">
        <w:rPr>
          <w:color w:val="000000"/>
        </w:rPr>
        <w:t xml:space="preserve"> Mi</w:t>
      </w:r>
      <w:r w:rsidR="00C61D71" w:rsidRPr="00311BCA">
        <w:rPr>
          <w:color w:val="000000"/>
        </w:rPr>
        <w:t>ddle School</w:t>
      </w:r>
      <w:r w:rsidR="00D41ED3" w:rsidRPr="00311BCA">
        <w:rPr>
          <w:color w:val="000000"/>
        </w:rPr>
        <w:t xml:space="preserve"> (KMS)</w:t>
      </w:r>
      <w:r w:rsidR="00C61D71" w:rsidRPr="00311BCA">
        <w:rPr>
          <w:color w:val="000000"/>
        </w:rPr>
        <w:t xml:space="preserve">. The idea was for 15 teacher candidates to meet on Friday at KMS for the entire day, and attend their classes together on site. This would facilitate the contextualization of their learning, allow for a more seamless integration of their field/practicum placements, and embed the teacher candidates in the school setting. </w:t>
      </w:r>
      <w:r w:rsidR="00E24B68" w:rsidRPr="00311BCA">
        <w:rPr>
          <w:color w:val="000000"/>
        </w:rPr>
        <w:t>It was based on data we received from teachers about wanting more time with practicum students, and a recent strategy in the department to co-teach co-requisite cours</w:t>
      </w:r>
      <w:r w:rsidR="00286719" w:rsidRPr="00311BCA">
        <w:rPr>
          <w:color w:val="000000"/>
        </w:rPr>
        <w:t xml:space="preserve">es (e.g., SEC 430 and SEC 410). </w:t>
      </w:r>
      <w:r w:rsidR="00C61D71" w:rsidRPr="00311BCA">
        <w:rPr>
          <w:color w:val="000000"/>
        </w:rPr>
        <w:t xml:space="preserve">The project started </w:t>
      </w:r>
      <w:proofErr w:type="gramStart"/>
      <w:r w:rsidR="00C61D71" w:rsidRPr="00311BCA">
        <w:rPr>
          <w:color w:val="000000"/>
        </w:rPr>
        <w:t>Winter</w:t>
      </w:r>
      <w:proofErr w:type="gramEnd"/>
      <w:r w:rsidR="00C61D71" w:rsidRPr="00311BCA">
        <w:rPr>
          <w:color w:val="000000"/>
        </w:rPr>
        <w:t>, 2016, and contin</w:t>
      </w:r>
      <w:r w:rsidR="009A15D9" w:rsidRPr="00311BCA">
        <w:rPr>
          <w:color w:val="000000"/>
        </w:rPr>
        <w:t xml:space="preserve">ued Spring, 2016 and Fall, 2016.  Another group started </w:t>
      </w:r>
      <w:proofErr w:type="gramStart"/>
      <w:r w:rsidR="009A15D9" w:rsidRPr="00311BCA">
        <w:rPr>
          <w:color w:val="000000"/>
        </w:rPr>
        <w:t>Winter</w:t>
      </w:r>
      <w:proofErr w:type="gramEnd"/>
      <w:r w:rsidR="009A15D9" w:rsidRPr="00311BCA">
        <w:rPr>
          <w:color w:val="000000"/>
        </w:rPr>
        <w:t>, 2017, continued Spr</w:t>
      </w:r>
      <w:r w:rsidR="00AA6DE6" w:rsidRPr="00311BCA">
        <w:rPr>
          <w:color w:val="000000"/>
        </w:rPr>
        <w:t>ing 2017, and Fall 2017 and finally a third group commenced Winter, 2018 and will</w:t>
      </w:r>
      <w:r w:rsidR="00311BCA" w:rsidRPr="00311BCA">
        <w:rPr>
          <w:color w:val="000000"/>
        </w:rPr>
        <w:t xml:space="preserve"> continue through Spring 2018 an</w:t>
      </w:r>
      <w:r w:rsidR="00AA6DE6" w:rsidRPr="00311BCA">
        <w:rPr>
          <w:color w:val="000000"/>
        </w:rPr>
        <w:t>d Fall 2018.</w:t>
      </w:r>
      <w:r w:rsidR="00311BCA" w:rsidRPr="00311BCA">
        <w:rPr>
          <w:color w:val="000000"/>
        </w:rPr>
        <w:t xml:space="preserve"> Detailed information has been kept by the instructor of the three sequential methods courses about teacher perceptions, teacher-candidate learning and development as a teacher, and middle school student learning. Surveys of candidates’ and teachers’ perceptions have also been gathered and analyzed. Initial results indicate that teacher candidates believe this induction model was beneficial. They reported being able to develop closer connections to students and to their cooperating teachers, and that they could apply the principles and ideas from their coursework more readily to their setting. This data led the department to decide to run this project for a third time this </w:t>
      </w:r>
      <w:proofErr w:type="gramStart"/>
      <w:r w:rsidR="00311BCA" w:rsidRPr="00311BCA">
        <w:rPr>
          <w:color w:val="000000"/>
        </w:rPr>
        <w:t>Winter</w:t>
      </w:r>
      <w:proofErr w:type="gramEnd"/>
      <w:r w:rsidR="00311BCA" w:rsidRPr="00311BCA">
        <w:rPr>
          <w:color w:val="000000"/>
        </w:rPr>
        <w:t xml:space="preserve">, 2018 quarter.  We need to engage in an analysis of </w:t>
      </w:r>
      <w:proofErr w:type="spellStart"/>
      <w:r w:rsidR="00311BCA" w:rsidRPr="00311BCA">
        <w:rPr>
          <w:color w:val="000000"/>
        </w:rPr>
        <w:t>edTPA</w:t>
      </w:r>
      <w:proofErr w:type="spellEnd"/>
      <w:r w:rsidR="00311BCA" w:rsidRPr="00311BCA">
        <w:rPr>
          <w:color w:val="000000"/>
        </w:rPr>
        <w:t xml:space="preserve"> scores for teacher candidates who engaged in the </w:t>
      </w:r>
      <w:proofErr w:type="spellStart"/>
      <w:r w:rsidR="00311BCA" w:rsidRPr="00311BCA">
        <w:rPr>
          <w:color w:val="000000"/>
        </w:rPr>
        <w:t>Kulshan</w:t>
      </w:r>
      <w:proofErr w:type="spellEnd"/>
      <w:r w:rsidR="00311BCA" w:rsidRPr="00311BCA">
        <w:rPr>
          <w:color w:val="000000"/>
        </w:rPr>
        <w:t xml:space="preserve"> Project, and we will then have direct comparisons with a cohort who did not participate in the Friday </w:t>
      </w:r>
      <w:proofErr w:type="spellStart"/>
      <w:r w:rsidR="00311BCA" w:rsidRPr="00311BCA">
        <w:rPr>
          <w:color w:val="000000"/>
        </w:rPr>
        <w:t>Kulshan</w:t>
      </w:r>
      <w:proofErr w:type="spellEnd"/>
      <w:r w:rsidR="00311BCA" w:rsidRPr="00311BCA">
        <w:rPr>
          <w:color w:val="000000"/>
        </w:rPr>
        <w:t xml:space="preserve"> Project. We will soon have a third round of </w:t>
      </w:r>
      <w:proofErr w:type="spellStart"/>
      <w:r w:rsidR="00311BCA" w:rsidRPr="00311BCA">
        <w:rPr>
          <w:color w:val="000000"/>
        </w:rPr>
        <w:t>edTPA</w:t>
      </w:r>
      <w:proofErr w:type="spellEnd"/>
      <w:r w:rsidR="00311BCA" w:rsidRPr="00311BCA">
        <w:rPr>
          <w:color w:val="000000"/>
        </w:rPr>
        <w:t xml:space="preserve"> scores and will be checking our findings to direct our decisions for the </w:t>
      </w:r>
      <w:r w:rsidR="00311BCA" w:rsidRPr="00311BCA">
        <w:t>future of this project.</w:t>
      </w:r>
    </w:p>
    <w:p w:rsidR="009A15D9" w:rsidRDefault="009A15D9" w:rsidP="00D76B77">
      <w:pPr>
        <w:pBdr>
          <w:bottom w:val="single" w:sz="6" w:space="31" w:color="auto"/>
        </w:pBdr>
        <w:spacing w:line="276" w:lineRule="auto"/>
        <w:ind w:left="360"/>
      </w:pPr>
      <w:bookmarkStart w:id="4" w:name="_GoBack"/>
      <w:bookmarkEnd w:id="4"/>
    </w:p>
    <w:sectPr w:rsidR="009A15D9" w:rsidSect="003A7C15">
      <w:footerReference w:type="default" r:id="rId9"/>
      <w:endnotePr>
        <w:numFmt w:val="decimal"/>
      </w:endnotePr>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CBA" w:rsidRDefault="00432CBA" w:rsidP="003A7C15">
      <w:r>
        <w:separator/>
      </w:r>
    </w:p>
  </w:endnote>
  <w:endnote w:type="continuationSeparator" w:id="0">
    <w:p w:rsidR="00432CBA" w:rsidRDefault="00432CBA" w:rsidP="003A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BA" w:rsidRPr="003A7C15" w:rsidRDefault="00432CBA" w:rsidP="003A7C15">
    <w:pPr>
      <w:jc w:val="right"/>
      <w:rPr>
        <w:rFonts w:ascii="Times New Roman" w:hAnsi="Times New Roman"/>
        <w:sz w:val="22"/>
        <w:szCs w:val="22"/>
      </w:rPr>
    </w:pPr>
    <w:r w:rsidRPr="003A7C15">
      <w:rPr>
        <w:rFonts w:ascii="Times New Roman" w:hAnsi="Times New Roman"/>
        <w:sz w:val="22"/>
        <w:szCs w:val="22"/>
      </w:rPr>
      <w:fldChar w:fldCharType="begin"/>
    </w:r>
    <w:r w:rsidRPr="003A7C15">
      <w:rPr>
        <w:rFonts w:ascii="Times New Roman" w:hAnsi="Times New Roman"/>
        <w:sz w:val="22"/>
        <w:szCs w:val="22"/>
      </w:rPr>
      <w:instrText xml:space="preserve"> PAGE   \* MERGEFORMAT </w:instrText>
    </w:r>
    <w:r w:rsidRPr="003A7C15">
      <w:rPr>
        <w:rFonts w:ascii="Times New Roman" w:hAnsi="Times New Roman"/>
        <w:sz w:val="22"/>
        <w:szCs w:val="22"/>
      </w:rPr>
      <w:fldChar w:fldCharType="separate"/>
    </w:r>
    <w:r w:rsidR="00AC7686">
      <w:rPr>
        <w:rFonts w:ascii="Times New Roman" w:hAnsi="Times New Roman"/>
        <w:noProof/>
        <w:sz w:val="22"/>
        <w:szCs w:val="22"/>
      </w:rPr>
      <w:t>3</w:t>
    </w:r>
    <w:r w:rsidRPr="003A7C15">
      <w:rPr>
        <w:rFonts w:ascii="Times New Roman" w:hAnsi="Times New Roman"/>
        <w:sz w:val="22"/>
        <w:szCs w:val="22"/>
      </w:rPr>
      <w:fldChar w:fldCharType="end"/>
    </w:r>
  </w:p>
  <w:p w:rsidR="00432CBA" w:rsidRPr="003A7C15" w:rsidRDefault="00432CBA" w:rsidP="003A7C15">
    <w:pPr>
      <w:pStyle w:val="Foo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CBA" w:rsidRDefault="00432CBA" w:rsidP="003A7C15">
      <w:r>
        <w:separator/>
      </w:r>
    </w:p>
  </w:footnote>
  <w:footnote w:type="continuationSeparator" w:id="0">
    <w:p w:rsidR="00432CBA" w:rsidRDefault="00432CBA" w:rsidP="003A7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03E9"/>
    <w:multiLevelType w:val="hybridMultilevel"/>
    <w:tmpl w:val="81C0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21123"/>
    <w:multiLevelType w:val="hybridMultilevel"/>
    <w:tmpl w:val="579E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20E9E"/>
    <w:multiLevelType w:val="hybridMultilevel"/>
    <w:tmpl w:val="AFCC9E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861B4C"/>
    <w:multiLevelType w:val="hybridMultilevel"/>
    <w:tmpl w:val="EC9C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11574"/>
    <w:multiLevelType w:val="multilevel"/>
    <w:tmpl w:val="78EC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8143C"/>
    <w:multiLevelType w:val="hybridMultilevel"/>
    <w:tmpl w:val="F970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70343"/>
    <w:multiLevelType w:val="hybridMultilevel"/>
    <w:tmpl w:val="AC1A1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A29F6"/>
    <w:multiLevelType w:val="hybridMultilevel"/>
    <w:tmpl w:val="E722C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C4E89"/>
    <w:multiLevelType w:val="hybridMultilevel"/>
    <w:tmpl w:val="6B4E0B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16131"/>
    <w:multiLevelType w:val="hybridMultilevel"/>
    <w:tmpl w:val="BD8E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63E28"/>
    <w:multiLevelType w:val="hybridMultilevel"/>
    <w:tmpl w:val="2848A974"/>
    <w:lvl w:ilvl="0" w:tplc="D58620E4">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848A2"/>
    <w:multiLevelType w:val="hybridMultilevel"/>
    <w:tmpl w:val="683E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53BE9"/>
    <w:multiLevelType w:val="hybridMultilevel"/>
    <w:tmpl w:val="18DC1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0615D26"/>
    <w:multiLevelType w:val="multilevel"/>
    <w:tmpl w:val="82E8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27281D"/>
    <w:multiLevelType w:val="hybridMultilevel"/>
    <w:tmpl w:val="D8F8439C"/>
    <w:lvl w:ilvl="0" w:tplc="097ADB9E">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04D2F"/>
    <w:multiLevelType w:val="multilevel"/>
    <w:tmpl w:val="A57A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4C708D"/>
    <w:multiLevelType w:val="hybridMultilevel"/>
    <w:tmpl w:val="381AA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C4505"/>
    <w:multiLevelType w:val="hybridMultilevel"/>
    <w:tmpl w:val="2EB4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21389"/>
    <w:multiLevelType w:val="hybridMultilevel"/>
    <w:tmpl w:val="66D0A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C3E47"/>
    <w:multiLevelType w:val="hybridMultilevel"/>
    <w:tmpl w:val="AF6C3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934F98"/>
    <w:multiLevelType w:val="hybridMultilevel"/>
    <w:tmpl w:val="804A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F40CE"/>
    <w:multiLevelType w:val="hybridMultilevel"/>
    <w:tmpl w:val="29701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8AB110B"/>
    <w:multiLevelType w:val="hybridMultilevel"/>
    <w:tmpl w:val="9CEC823E"/>
    <w:lvl w:ilvl="0" w:tplc="536E2C2A">
      <w:start w:val="30"/>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CC0BE0"/>
    <w:multiLevelType w:val="hybridMultilevel"/>
    <w:tmpl w:val="7310B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7739D5"/>
    <w:multiLevelType w:val="hybridMultilevel"/>
    <w:tmpl w:val="B07E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0"/>
  </w:num>
  <w:num w:numId="5">
    <w:abstractNumId w:val="1"/>
  </w:num>
  <w:num w:numId="6">
    <w:abstractNumId w:val="5"/>
  </w:num>
  <w:num w:numId="7">
    <w:abstractNumId w:val="14"/>
  </w:num>
  <w:num w:numId="8">
    <w:abstractNumId w:val="19"/>
  </w:num>
  <w:num w:numId="9">
    <w:abstractNumId w:val="21"/>
  </w:num>
  <w:num w:numId="10">
    <w:abstractNumId w:val="16"/>
  </w:num>
  <w:num w:numId="11">
    <w:abstractNumId w:val="18"/>
  </w:num>
  <w:num w:numId="12">
    <w:abstractNumId w:val="11"/>
  </w:num>
  <w:num w:numId="13">
    <w:abstractNumId w:val="2"/>
  </w:num>
  <w:num w:numId="14">
    <w:abstractNumId w:val="9"/>
  </w:num>
  <w:num w:numId="15">
    <w:abstractNumId w:val="3"/>
  </w:num>
  <w:num w:numId="16">
    <w:abstractNumId w:val="17"/>
  </w:num>
  <w:num w:numId="17">
    <w:abstractNumId w:val="8"/>
  </w:num>
  <w:num w:numId="18">
    <w:abstractNumId w:val="15"/>
  </w:num>
  <w:num w:numId="19">
    <w:abstractNumId w:val="4"/>
  </w:num>
  <w:num w:numId="20">
    <w:abstractNumId w:val="13"/>
  </w:num>
  <w:num w:numId="21">
    <w:abstractNumId w:val="6"/>
  </w:num>
  <w:num w:numId="22">
    <w:abstractNumId w:val="2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09"/>
    <w:rsid w:val="00001DB6"/>
    <w:rsid w:val="00002A00"/>
    <w:rsid w:val="00006A50"/>
    <w:rsid w:val="000130D3"/>
    <w:rsid w:val="00033B51"/>
    <w:rsid w:val="00051409"/>
    <w:rsid w:val="00087F61"/>
    <w:rsid w:val="000B1CD9"/>
    <w:rsid w:val="000B2CB3"/>
    <w:rsid w:val="000B6B09"/>
    <w:rsid w:val="000C6A79"/>
    <w:rsid w:val="000D0334"/>
    <w:rsid w:val="000E68CA"/>
    <w:rsid w:val="000F10CB"/>
    <w:rsid w:val="00120DA2"/>
    <w:rsid w:val="00162DB1"/>
    <w:rsid w:val="001C4482"/>
    <w:rsid w:val="001D404B"/>
    <w:rsid w:val="001F0FD4"/>
    <w:rsid w:val="00203903"/>
    <w:rsid w:val="0021608F"/>
    <w:rsid w:val="00223221"/>
    <w:rsid w:val="00275AB5"/>
    <w:rsid w:val="00286719"/>
    <w:rsid w:val="002A6DC9"/>
    <w:rsid w:val="002C5854"/>
    <w:rsid w:val="002D47A8"/>
    <w:rsid w:val="002E6F1F"/>
    <w:rsid w:val="00311BCA"/>
    <w:rsid w:val="003A4801"/>
    <w:rsid w:val="003A7C15"/>
    <w:rsid w:val="003B7898"/>
    <w:rsid w:val="003C4167"/>
    <w:rsid w:val="003E1EAB"/>
    <w:rsid w:val="003E5588"/>
    <w:rsid w:val="00402907"/>
    <w:rsid w:val="00432CBA"/>
    <w:rsid w:val="004822EF"/>
    <w:rsid w:val="00485613"/>
    <w:rsid w:val="004B6C2A"/>
    <w:rsid w:val="004C27EF"/>
    <w:rsid w:val="004D2A0B"/>
    <w:rsid w:val="004D2F56"/>
    <w:rsid w:val="004D3546"/>
    <w:rsid w:val="005070F8"/>
    <w:rsid w:val="005300B2"/>
    <w:rsid w:val="00531304"/>
    <w:rsid w:val="00563C43"/>
    <w:rsid w:val="005A4357"/>
    <w:rsid w:val="005B47B6"/>
    <w:rsid w:val="005C25BB"/>
    <w:rsid w:val="005D10D4"/>
    <w:rsid w:val="005F3C3C"/>
    <w:rsid w:val="006168AE"/>
    <w:rsid w:val="00624899"/>
    <w:rsid w:val="00637CFD"/>
    <w:rsid w:val="006567F7"/>
    <w:rsid w:val="00664F94"/>
    <w:rsid w:val="006703E4"/>
    <w:rsid w:val="00675A1B"/>
    <w:rsid w:val="006C520C"/>
    <w:rsid w:val="006D7CA1"/>
    <w:rsid w:val="006E28FE"/>
    <w:rsid w:val="006E59DB"/>
    <w:rsid w:val="007068C1"/>
    <w:rsid w:val="00735C69"/>
    <w:rsid w:val="0074195D"/>
    <w:rsid w:val="007424DB"/>
    <w:rsid w:val="0075253D"/>
    <w:rsid w:val="00765C9F"/>
    <w:rsid w:val="007877A2"/>
    <w:rsid w:val="00793645"/>
    <w:rsid w:val="007C2EA0"/>
    <w:rsid w:val="00802428"/>
    <w:rsid w:val="008320BE"/>
    <w:rsid w:val="00846ED6"/>
    <w:rsid w:val="00861038"/>
    <w:rsid w:val="008710AA"/>
    <w:rsid w:val="008C4DD1"/>
    <w:rsid w:val="00900225"/>
    <w:rsid w:val="00920CB1"/>
    <w:rsid w:val="009A15D9"/>
    <w:rsid w:val="00A05664"/>
    <w:rsid w:val="00A36169"/>
    <w:rsid w:val="00AA6DE6"/>
    <w:rsid w:val="00AB2DFB"/>
    <w:rsid w:val="00AC7686"/>
    <w:rsid w:val="00AD0D09"/>
    <w:rsid w:val="00B4630A"/>
    <w:rsid w:val="00B80AE6"/>
    <w:rsid w:val="00BC437D"/>
    <w:rsid w:val="00BC451E"/>
    <w:rsid w:val="00BC57B0"/>
    <w:rsid w:val="00BD5029"/>
    <w:rsid w:val="00BF232B"/>
    <w:rsid w:val="00BF237A"/>
    <w:rsid w:val="00C03C23"/>
    <w:rsid w:val="00C05D1C"/>
    <w:rsid w:val="00C13EF9"/>
    <w:rsid w:val="00C21D7B"/>
    <w:rsid w:val="00C274A1"/>
    <w:rsid w:val="00C43C12"/>
    <w:rsid w:val="00C61D71"/>
    <w:rsid w:val="00C66B9E"/>
    <w:rsid w:val="00C670D8"/>
    <w:rsid w:val="00C725BC"/>
    <w:rsid w:val="00D41ED3"/>
    <w:rsid w:val="00D42C70"/>
    <w:rsid w:val="00D74C83"/>
    <w:rsid w:val="00D76B77"/>
    <w:rsid w:val="00DC4508"/>
    <w:rsid w:val="00DC69C3"/>
    <w:rsid w:val="00DD4317"/>
    <w:rsid w:val="00DE1451"/>
    <w:rsid w:val="00DF1217"/>
    <w:rsid w:val="00DF319D"/>
    <w:rsid w:val="00E24B68"/>
    <w:rsid w:val="00E30E27"/>
    <w:rsid w:val="00E36CFC"/>
    <w:rsid w:val="00E51464"/>
    <w:rsid w:val="00EA092E"/>
    <w:rsid w:val="00ED7D03"/>
    <w:rsid w:val="00F11234"/>
    <w:rsid w:val="00F257CD"/>
    <w:rsid w:val="00F336E3"/>
    <w:rsid w:val="00F52E6C"/>
    <w:rsid w:val="00FA14A5"/>
    <w:rsid w:val="00FE2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6168A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8AE"/>
    <w:pPr>
      <w:ind w:left="720"/>
      <w:contextualSpacing/>
    </w:pPr>
    <w:rPr>
      <w:rFonts w:ascii="Times New Roman" w:hAnsi="Times New Roman"/>
    </w:rPr>
  </w:style>
  <w:style w:type="paragraph" w:styleId="Header">
    <w:name w:val="header"/>
    <w:basedOn w:val="Normal"/>
    <w:link w:val="HeaderChar"/>
    <w:rsid w:val="003A7C15"/>
    <w:pPr>
      <w:tabs>
        <w:tab w:val="center" w:pos="4680"/>
        <w:tab w:val="right" w:pos="9360"/>
      </w:tabs>
    </w:pPr>
  </w:style>
  <w:style w:type="character" w:customStyle="1" w:styleId="HeaderChar">
    <w:name w:val="Header Char"/>
    <w:basedOn w:val="DefaultParagraphFont"/>
    <w:link w:val="Header"/>
    <w:rsid w:val="003A7C15"/>
    <w:rPr>
      <w:sz w:val="24"/>
    </w:rPr>
  </w:style>
  <w:style w:type="paragraph" w:styleId="Footer">
    <w:name w:val="footer"/>
    <w:basedOn w:val="Normal"/>
    <w:link w:val="FooterChar"/>
    <w:uiPriority w:val="99"/>
    <w:rsid w:val="003A7C15"/>
    <w:pPr>
      <w:tabs>
        <w:tab w:val="center" w:pos="4680"/>
        <w:tab w:val="right" w:pos="9360"/>
      </w:tabs>
    </w:pPr>
  </w:style>
  <w:style w:type="character" w:customStyle="1" w:styleId="FooterChar">
    <w:name w:val="Footer Char"/>
    <w:basedOn w:val="DefaultParagraphFont"/>
    <w:link w:val="Footer"/>
    <w:uiPriority w:val="99"/>
    <w:rsid w:val="003A7C15"/>
    <w:rPr>
      <w:sz w:val="24"/>
    </w:rPr>
  </w:style>
  <w:style w:type="paragraph" w:styleId="BalloonText">
    <w:name w:val="Balloon Text"/>
    <w:basedOn w:val="Normal"/>
    <w:link w:val="BalloonTextChar"/>
    <w:rsid w:val="000C6A79"/>
    <w:rPr>
      <w:rFonts w:ascii="Tahoma" w:hAnsi="Tahoma" w:cs="Tahoma"/>
      <w:sz w:val="16"/>
      <w:szCs w:val="16"/>
    </w:rPr>
  </w:style>
  <w:style w:type="character" w:customStyle="1" w:styleId="BalloonTextChar">
    <w:name w:val="Balloon Text Char"/>
    <w:basedOn w:val="DefaultParagraphFont"/>
    <w:link w:val="BalloonText"/>
    <w:rsid w:val="000C6A79"/>
    <w:rPr>
      <w:rFonts w:ascii="Tahoma" w:hAnsi="Tahoma" w:cs="Tahoma"/>
      <w:sz w:val="16"/>
      <w:szCs w:val="16"/>
    </w:rPr>
  </w:style>
  <w:style w:type="paragraph" w:styleId="FootnoteText">
    <w:name w:val="footnote text"/>
    <w:basedOn w:val="Normal"/>
    <w:link w:val="FootnoteTextChar"/>
    <w:rsid w:val="005C25BB"/>
    <w:rPr>
      <w:sz w:val="20"/>
    </w:rPr>
  </w:style>
  <w:style w:type="character" w:customStyle="1" w:styleId="FootnoteTextChar">
    <w:name w:val="Footnote Text Char"/>
    <w:basedOn w:val="DefaultParagraphFont"/>
    <w:link w:val="FootnoteText"/>
    <w:rsid w:val="005C25BB"/>
  </w:style>
  <w:style w:type="character" w:styleId="FootnoteReference">
    <w:name w:val="footnote reference"/>
    <w:basedOn w:val="DefaultParagraphFont"/>
    <w:rsid w:val="005C25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14837">
      <w:bodyDiv w:val="1"/>
      <w:marLeft w:val="0"/>
      <w:marRight w:val="0"/>
      <w:marTop w:val="0"/>
      <w:marBottom w:val="0"/>
      <w:divBdr>
        <w:top w:val="none" w:sz="0" w:space="0" w:color="auto"/>
        <w:left w:val="none" w:sz="0" w:space="0" w:color="auto"/>
        <w:bottom w:val="none" w:sz="0" w:space="0" w:color="auto"/>
        <w:right w:val="none" w:sz="0" w:space="0" w:color="auto"/>
      </w:divBdr>
    </w:div>
    <w:div w:id="19910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rson\Documents\BEL@WWU\WWU%20letterhead\Memo%20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AD86DFB-99F2-4444-8C20-0BC68935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color</Template>
  <TotalTime>193</TotalTime>
  <Pages>3</Pages>
  <Words>1148</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WCE</Company>
  <LinksUpToDate>false</LinksUpToDate>
  <CharactersWithSpaces>7570</CharactersWithSpaces>
  <SharedDoc>false</SharedDoc>
  <HLinks>
    <vt:vector size="6" baseType="variant">
      <vt:variant>
        <vt:i4>7209030</vt:i4>
      </vt:variant>
      <vt:variant>
        <vt:i4>0</vt:i4>
      </vt:variant>
      <vt:variant>
        <vt:i4>0</vt:i4>
      </vt:variant>
      <vt:variant>
        <vt:i4>5</vt:i4>
      </vt:variant>
      <vt:variant>
        <vt:lpwstr>mailto:blarson@wwu.edu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Larson</dc:creator>
  <cp:lastModifiedBy>Kevin Roxas</cp:lastModifiedBy>
  <cp:revision>24</cp:revision>
  <cp:lastPrinted>2017-04-10T23:07:00Z</cp:lastPrinted>
  <dcterms:created xsi:type="dcterms:W3CDTF">2018-02-08T08:01:00Z</dcterms:created>
  <dcterms:modified xsi:type="dcterms:W3CDTF">2018-03-02T04:24:00Z</dcterms:modified>
</cp:coreProperties>
</file>